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E1" w:rsidRPr="00A777E1" w:rsidRDefault="00A777E1" w:rsidP="00B01302">
      <w:pPr>
        <w:jc w:val="center"/>
        <w:rPr>
          <w:bCs/>
          <w:sz w:val="28"/>
          <w:szCs w:val="28"/>
        </w:rPr>
      </w:pPr>
      <w:r w:rsidRPr="00A777E1">
        <w:rPr>
          <w:bCs/>
          <w:sz w:val="28"/>
          <w:szCs w:val="28"/>
        </w:rPr>
        <w:t>ПОЯСНИТЕЛЬНАЯ ЗАПИСКА</w:t>
      </w:r>
      <w:bookmarkStart w:id="0" w:name="_GoBack"/>
      <w:bookmarkEnd w:id="0"/>
    </w:p>
    <w:p w:rsidR="00A777E1" w:rsidRPr="00A777E1" w:rsidRDefault="00A777E1" w:rsidP="00B01302">
      <w:pPr>
        <w:jc w:val="center"/>
        <w:rPr>
          <w:sz w:val="28"/>
        </w:rPr>
      </w:pPr>
      <w:r w:rsidRPr="00A777E1">
        <w:rPr>
          <w:bCs/>
          <w:sz w:val="28"/>
          <w:szCs w:val="28"/>
        </w:rPr>
        <w:t xml:space="preserve">к проекту решения Представительного Собрания </w:t>
      </w:r>
      <w:proofErr w:type="spellStart"/>
      <w:r w:rsidRPr="00A777E1">
        <w:rPr>
          <w:bCs/>
          <w:sz w:val="28"/>
          <w:szCs w:val="28"/>
        </w:rPr>
        <w:t>Вожегодского</w:t>
      </w:r>
      <w:proofErr w:type="spellEnd"/>
      <w:r w:rsidRPr="00A777E1">
        <w:rPr>
          <w:bCs/>
          <w:sz w:val="28"/>
          <w:szCs w:val="28"/>
        </w:rPr>
        <w:t xml:space="preserve"> муниципального округа «</w:t>
      </w:r>
      <w:r w:rsidRPr="00A777E1">
        <w:rPr>
          <w:sz w:val="28"/>
        </w:rPr>
        <w:t xml:space="preserve">Об утверждении отчета об исполнении бюджета сельского поселения </w:t>
      </w:r>
      <w:proofErr w:type="spellStart"/>
      <w:r w:rsidRPr="00A777E1">
        <w:rPr>
          <w:sz w:val="28"/>
        </w:rPr>
        <w:t>Кадниковское</w:t>
      </w:r>
      <w:proofErr w:type="spellEnd"/>
      <w:r w:rsidRPr="00A777E1">
        <w:rPr>
          <w:sz w:val="28"/>
        </w:rPr>
        <w:t xml:space="preserve"> за 2022 год</w:t>
      </w:r>
      <w:r w:rsidRPr="00A777E1">
        <w:rPr>
          <w:sz w:val="28"/>
        </w:rPr>
        <w:t>»</w:t>
      </w:r>
    </w:p>
    <w:p w:rsidR="00A777E1" w:rsidRPr="00A777E1" w:rsidRDefault="00A777E1" w:rsidP="00B01302">
      <w:pPr>
        <w:jc w:val="center"/>
        <w:rPr>
          <w:sz w:val="28"/>
        </w:rPr>
      </w:pPr>
    </w:p>
    <w:p w:rsidR="00A777E1" w:rsidRDefault="00A777E1" w:rsidP="00B01302">
      <w:pPr>
        <w:jc w:val="center"/>
        <w:rPr>
          <w:b/>
          <w:bCs/>
          <w:sz w:val="28"/>
          <w:szCs w:val="28"/>
        </w:rPr>
      </w:pPr>
    </w:p>
    <w:p w:rsidR="00B01302" w:rsidRDefault="00B01302" w:rsidP="00B013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Доходная часть бюджета.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сельского поселения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Вожегодского</w:t>
      </w:r>
      <w:proofErr w:type="spellEnd"/>
      <w:r>
        <w:rPr>
          <w:sz w:val="28"/>
          <w:szCs w:val="28"/>
        </w:rPr>
        <w:t xml:space="preserve"> муниципального района по доходам за 2022 год исполнен в сумме </w:t>
      </w:r>
      <w:r>
        <w:rPr>
          <w:b/>
          <w:bCs/>
          <w:sz w:val="28"/>
          <w:szCs w:val="28"/>
        </w:rPr>
        <w:t>12 675 090,62</w:t>
      </w:r>
      <w:r>
        <w:rPr>
          <w:b/>
          <w:bCs/>
          <w:sz w:val="28"/>
          <w:szCs w:val="28"/>
        </w:rPr>
        <w:tab/>
        <w:t xml:space="preserve"> </w:t>
      </w:r>
      <w:r>
        <w:rPr>
          <w:sz w:val="28"/>
          <w:szCs w:val="28"/>
        </w:rPr>
        <w:t>руб. или 99,5 %  к годовым плановым назначениям в том числе: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собственные доходы – 905 714,76 рублей (99,5% к годовым плановым назначениям).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безвозмездные поступления от других бюджетов бюджетной системы РФ –   11 769 375,86 рублей (99,5 % к годовым плановым назначениям).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Удельный вес собственных доходов местного бюджета в общей сумме доходов в 2022 году составил 7,15%.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Основную часть налоговых и неналоговых поступлений в бюджет поселения составляют: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налог на доходы физических лиц –</w:t>
      </w:r>
      <w:r>
        <w:t xml:space="preserve"> </w:t>
      </w:r>
      <w:r>
        <w:rPr>
          <w:sz w:val="28"/>
          <w:szCs w:val="28"/>
        </w:rPr>
        <w:t xml:space="preserve">461 007,84 рублей (50,9 % от поступления собственных доходов). Наиболее крупные налогоплательщики - ЗАО «Вожега-Лес», </w:t>
      </w:r>
      <w:proofErr w:type="spellStart"/>
      <w:r>
        <w:rPr>
          <w:sz w:val="28"/>
          <w:szCs w:val="28"/>
        </w:rPr>
        <w:t>Вожегодская</w:t>
      </w:r>
      <w:proofErr w:type="spellEnd"/>
      <w:r>
        <w:rPr>
          <w:sz w:val="28"/>
          <w:szCs w:val="28"/>
        </w:rPr>
        <w:t xml:space="preserve"> дистанция пути, ЗАО «</w:t>
      </w:r>
      <w:proofErr w:type="spellStart"/>
      <w:r>
        <w:rPr>
          <w:sz w:val="28"/>
          <w:szCs w:val="28"/>
        </w:rPr>
        <w:t>Митинолесторг</w:t>
      </w:r>
      <w:proofErr w:type="spellEnd"/>
      <w:r>
        <w:rPr>
          <w:sz w:val="28"/>
          <w:szCs w:val="28"/>
        </w:rPr>
        <w:t>», МБОУ «</w:t>
      </w:r>
      <w:proofErr w:type="spellStart"/>
      <w:r>
        <w:rPr>
          <w:sz w:val="28"/>
          <w:szCs w:val="28"/>
        </w:rPr>
        <w:t>Кадниковская</w:t>
      </w:r>
      <w:proofErr w:type="spellEnd"/>
      <w:r>
        <w:rPr>
          <w:sz w:val="28"/>
          <w:szCs w:val="28"/>
        </w:rPr>
        <w:t xml:space="preserve"> средняя школа», МБУЗ «ВЦРБ»;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налог на имущество физических лиц –</w:t>
      </w:r>
      <w:r>
        <w:t xml:space="preserve"> </w:t>
      </w:r>
      <w:r>
        <w:rPr>
          <w:sz w:val="28"/>
          <w:szCs w:val="28"/>
        </w:rPr>
        <w:t>132 278,40 или (14,6 %</w:t>
      </w:r>
      <w:r>
        <w:t xml:space="preserve"> </w:t>
      </w:r>
      <w:r>
        <w:rPr>
          <w:sz w:val="28"/>
          <w:szCs w:val="28"/>
        </w:rPr>
        <w:t>от поступления собственных доходов);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земельный налог с физических лиц, обладающих земельным участком, расположенным в границах сельских поселений – 222 386,98 рублей или (24,55 %</w:t>
      </w:r>
      <w:r>
        <w:t xml:space="preserve"> </w:t>
      </w:r>
      <w:r>
        <w:rPr>
          <w:sz w:val="28"/>
          <w:szCs w:val="28"/>
        </w:rPr>
        <w:t>от поступления собственных доходов);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земельный налог с организаций, обладающих земельным участком, расположенным в границах сельских поселений – 50 150,54  рублей или (5,54%</w:t>
      </w:r>
      <w:r>
        <w:t xml:space="preserve"> </w:t>
      </w:r>
      <w:r>
        <w:rPr>
          <w:sz w:val="28"/>
          <w:szCs w:val="28"/>
        </w:rPr>
        <w:t>от поступления собственных доходов);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государственная пошлина за совершение нотариальных действий – 37 350,00 рублей или 4,12 % от поступления собственных доходов);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прочие доходы от компенсации затрат бюджетов сельских поселений – 2 541,00 рубль или (0,28 % от поступления собственных доходов).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обеспечения своевременного сбора по сокращению недоимки по налоговым и неналоговым платежам и сборам, на территории сельского поселения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 xml:space="preserve"> функционирует комиссия по контролю уплаты местных налогов юридическими и физическими лицами в бюджет сельского поселения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 xml:space="preserve"> и выявлению, пресечению выплаты заработной платы «в конвертах», утвержденная распоряжением администрации сельского поселения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 xml:space="preserve"> № 35 от 31.12.2013 года.</w:t>
      </w:r>
    </w:p>
    <w:p w:rsidR="00B01302" w:rsidRDefault="00B01302" w:rsidP="00B01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2022 год было проведено 9 заседаний комиссии по совершенствованию платежей и ликвидации недоимки. С начала года рассмотрено 83 налогоплательщиков, из которых 83 физических лица. В результате работы комиссии было собрано в бюджет задолженности 164,2 </w:t>
      </w:r>
      <w:r>
        <w:rPr>
          <w:sz w:val="28"/>
          <w:szCs w:val="28"/>
        </w:rPr>
        <w:lastRenderedPageBreak/>
        <w:t>тыс. рублей из них: налог на имущество физических лиц – 10,7 тыс. руб., земельный налог с физических лиц - 23,1 тыс. руб. и транспортный налог с физических лиц – 130,4 тыс. руб.</w:t>
      </w:r>
    </w:p>
    <w:p w:rsidR="00B01302" w:rsidRDefault="00B01302" w:rsidP="00B01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Явка налогоплательщиков составила 65 %.</w:t>
      </w:r>
    </w:p>
    <w:p w:rsidR="00B01302" w:rsidRDefault="00B01302" w:rsidP="00B01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 году была продолжена работа  по выявлению и привлечению к налогообложению объектов недвижимого имущества. По состоянию на 01.01.2023 года выявлено и привлечено к налогообложению собственников 2 жилых домов и 2 земельных участков. Сумма бюджетного эффекта составила 1,6 тыс. рублей.</w:t>
      </w:r>
    </w:p>
    <w:p w:rsidR="00B01302" w:rsidRDefault="00B01302" w:rsidP="00B01302">
      <w:pPr>
        <w:jc w:val="both"/>
        <w:rPr>
          <w:b/>
          <w:bCs/>
          <w:sz w:val="28"/>
          <w:szCs w:val="28"/>
          <w:highlight w:val="yellow"/>
        </w:rPr>
      </w:pPr>
    </w:p>
    <w:p w:rsidR="00B01302" w:rsidRDefault="00B01302" w:rsidP="00B013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Расходная часть бюджета.</w:t>
      </w:r>
    </w:p>
    <w:p w:rsidR="00B01302" w:rsidRDefault="00B01302" w:rsidP="00B01302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Структура расходов бюджета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2006"/>
        <w:gridCol w:w="2006"/>
        <w:gridCol w:w="1973"/>
        <w:gridCol w:w="1810"/>
      </w:tblGrid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%</w:t>
            </w:r>
          </w:p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Доля в</w:t>
            </w:r>
          </w:p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расходе %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5 108 243,85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5 048 422,78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98,83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39,67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113 400,00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113 400,00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0,89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80 000,00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80 000,00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0,63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2 096 809,66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2 096 809,66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16,48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1 788 846,49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1 705 361,57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95,33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13,4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4 000,00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4 000,00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0,03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3 263 900,00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3 263 900,00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25,65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300 400,00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294 528,46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98,05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2,31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125 000,00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120 000,00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96,00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0,94</w:t>
            </w:r>
          </w:p>
        </w:tc>
      </w:tr>
      <w:tr w:rsidR="00B01302" w:rsidTr="00B01302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12 880 600,00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12 726 422,47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02" w:rsidRDefault="00B01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</w:tbl>
    <w:p w:rsidR="00B01302" w:rsidRDefault="00B01302" w:rsidP="00B01302">
      <w:pPr>
        <w:jc w:val="center"/>
        <w:rPr>
          <w:b/>
          <w:bCs/>
          <w:sz w:val="28"/>
          <w:szCs w:val="28"/>
        </w:rPr>
      </w:pPr>
    </w:p>
    <w:p w:rsidR="00B01302" w:rsidRDefault="00B01302" w:rsidP="00B01302">
      <w:pPr>
        <w:rPr>
          <w:sz w:val="28"/>
          <w:szCs w:val="28"/>
        </w:rPr>
      </w:pPr>
      <w:r>
        <w:rPr>
          <w:sz w:val="28"/>
          <w:szCs w:val="28"/>
        </w:rPr>
        <w:t xml:space="preserve">      Расходы бюджета поселения осуществляются в формах, предусмотренных Бюджетным кодексом РФ.</w:t>
      </w:r>
    </w:p>
    <w:p w:rsidR="00B01302" w:rsidRDefault="00B01302" w:rsidP="00B01302">
      <w:pPr>
        <w:rPr>
          <w:sz w:val="28"/>
          <w:szCs w:val="28"/>
        </w:rPr>
      </w:pPr>
      <w:r>
        <w:rPr>
          <w:sz w:val="28"/>
          <w:szCs w:val="28"/>
        </w:rPr>
        <w:t xml:space="preserve">     Расходование средств бюджета поселения осуществляется по направлениям согласно бюджетной классификации и в пределах, установленных постановлением представительного органа о бюджете поселения на очередной финансовый год.</w:t>
      </w:r>
    </w:p>
    <w:p w:rsidR="00B01302" w:rsidRDefault="00B01302" w:rsidP="00B01302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Расходы бюджета сельского поселения по состоянию на 01.01.2023 года утверждены в размере 12 880 600,00 руб., исполнены в сумме 12 726 422,47 руб. или 98,8% от утвержденных назначений.</w:t>
      </w:r>
    </w:p>
    <w:p w:rsidR="00B01302" w:rsidRDefault="00B01302" w:rsidP="00B013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01302" w:rsidRDefault="00B01302" w:rsidP="00B013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01 «Общегосударственные расходы»</w:t>
      </w:r>
      <w:r>
        <w:rPr>
          <w:sz w:val="28"/>
          <w:szCs w:val="28"/>
        </w:rPr>
        <w:t xml:space="preserve"> расходы при плане </w:t>
      </w:r>
      <w:r>
        <w:rPr>
          <w:b/>
          <w:sz w:val="28"/>
          <w:szCs w:val="28"/>
        </w:rPr>
        <w:t>5 108 243,85</w:t>
      </w:r>
      <w:r>
        <w:rPr>
          <w:sz w:val="28"/>
          <w:szCs w:val="28"/>
        </w:rPr>
        <w:t xml:space="preserve"> руб. составили </w:t>
      </w:r>
      <w:r>
        <w:rPr>
          <w:b/>
          <w:sz w:val="28"/>
          <w:szCs w:val="28"/>
        </w:rPr>
        <w:t>5 048 422,78</w:t>
      </w:r>
      <w:r>
        <w:rPr>
          <w:sz w:val="28"/>
          <w:szCs w:val="28"/>
        </w:rPr>
        <w:t xml:space="preserve"> руб. и исполнены на </w:t>
      </w:r>
      <w:r>
        <w:rPr>
          <w:b/>
          <w:sz w:val="28"/>
          <w:szCs w:val="28"/>
        </w:rPr>
        <w:t>98,83</w:t>
      </w:r>
      <w:r>
        <w:rPr>
          <w:sz w:val="28"/>
          <w:szCs w:val="28"/>
        </w:rPr>
        <w:t xml:space="preserve"> %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</w:t>
      </w:r>
      <w:r>
        <w:rPr>
          <w:b/>
          <w:sz w:val="28"/>
          <w:szCs w:val="28"/>
        </w:rPr>
        <w:t>0102 на функционирование главы сельского поселения</w:t>
      </w:r>
      <w:r>
        <w:rPr>
          <w:sz w:val="28"/>
          <w:szCs w:val="28"/>
        </w:rPr>
        <w:t xml:space="preserve"> составили</w:t>
      </w:r>
      <w:r>
        <w:rPr>
          <w:b/>
          <w:sz w:val="28"/>
          <w:szCs w:val="28"/>
        </w:rPr>
        <w:t xml:space="preserve"> 910 310,69 </w:t>
      </w:r>
      <w:r>
        <w:rPr>
          <w:sz w:val="28"/>
          <w:szCs w:val="28"/>
        </w:rPr>
        <w:t xml:space="preserve">рублей или </w:t>
      </w:r>
      <w:r>
        <w:rPr>
          <w:b/>
          <w:sz w:val="28"/>
          <w:szCs w:val="28"/>
        </w:rPr>
        <w:t>100,0</w:t>
      </w:r>
      <w:r>
        <w:rPr>
          <w:sz w:val="28"/>
          <w:szCs w:val="28"/>
        </w:rPr>
        <w:t xml:space="preserve"> % от плановых назначений из них: на выплату заработной платы и начисления на оплату труда.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</w:t>
      </w:r>
      <w:r>
        <w:rPr>
          <w:b/>
          <w:sz w:val="28"/>
          <w:szCs w:val="28"/>
        </w:rPr>
        <w:t xml:space="preserve">0104 </w:t>
      </w:r>
      <w:r>
        <w:rPr>
          <w:sz w:val="28"/>
          <w:szCs w:val="28"/>
        </w:rPr>
        <w:t>составили</w:t>
      </w:r>
      <w:r>
        <w:rPr>
          <w:b/>
          <w:sz w:val="28"/>
          <w:szCs w:val="28"/>
        </w:rPr>
        <w:t xml:space="preserve"> 3 630 833,16</w:t>
      </w:r>
      <w:r>
        <w:rPr>
          <w:sz w:val="28"/>
          <w:szCs w:val="28"/>
        </w:rPr>
        <w:t xml:space="preserve"> рублей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>98,55</w:t>
      </w:r>
      <w:r>
        <w:rPr>
          <w:sz w:val="28"/>
          <w:szCs w:val="28"/>
        </w:rPr>
        <w:t>% от плановых назначений из них: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01302" w:rsidRDefault="00B01302" w:rsidP="00B01302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- на выплату заработной платы и начисления на оплату труда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2 078 554,62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рублей</w:t>
      </w:r>
    </w:p>
    <w:p w:rsidR="00B01302" w:rsidRDefault="00B01302" w:rsidP="00B01302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расходы на закупку товаров, работ и услуг в сфере информационных технологий – 155 789,76 </w:t>
      </w:r>
      <w:proofErr w:type="gramStart"/>
      <w:r>
        <w:rPr>
          <w:b/>
          <w:sz w:val="28"/>
          <w:szCs w:val="28"/>
        </w:rPr>
        <w:t xml:space="preserve">рублей </w:t>
      </w:r>
      <w:r>
        <w:rPr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на оплату услуг связи, интернет, на услуги по заправке картриджей, на приобретение неисключительных прав использования "</w:t>
      </w:r>
      <w:proofErr w:type="spellStart"/>
      <w:r>
        <w:rPr>
          <w:sz w:val="28"/>
          <w:szCs w:val="28"/>
        </w:rPr>
        <w:t>СБис</w:t>
      </w:r>
      <w:proofErr w:type="spellEnd"/>
      <w:r>
        <w:rPr>
          <w:sz w:val="28"/>
          <w:szCs w:val="28"/>
        </w:rPr>
        <w:t xml:space="preserve"> ЭО - Базовый, бюджет", обслуживание сайта, представление электронной подписи для СМЭВ, квалифицированный сертификат ЭП, установка и настройка средств СКЗИ и сертификата ЭП, системное администрирование.</w:t>
      </w:r>
    </w:p>
    <w:p w:rsidR="00B01302" w:rsidRDefault="00B01302" w:rsidP="00B0130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- расходы на прочую закупку товаров, работ и услуг для государственных (муниципальных) нужд 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780 879,21</w:t>
      </w:r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рублей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на водоснабжение, обращение с ТКО, обслуживание АПС, на закупку материалов для проведения текущего ремонта кровли, на текущий ремонт кровли, ТО автомобиля, на расходы по опубликованию НПА, на </w:t>
      </w:r>
      <w:proofErr w:type="spellStart"/>
      <w:r>
        <w:rPr>
          <w:sz w:val="28"/>
          <w:szCs w:val="28"/>
        </w:rPr>
        <w:t>предрейсовый</w:t>
      </w:r>
      <w:proofErr w:type="spellEnd"/>
      <w:r>
        <w:rPr>
          <w:sz w:val="28"/>
          <w:szCs w:val="28"/>
        </w:rPr>
        <w:t xml:space="preserve"> медицинский осмотр водителя, на ОСАГО, на приобретение ГСМ.</w:t>
      </w:r>
    </w:p>
    <w:p w:rsidR="00B01302" w:rsidRDefault="00B01302" w:rsidP="00B01302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- расходы на закупку энергетических ресурсов – 392 929,23 </w:t>
      </w:r>
      <w:r>
        <w:rPr>
          <w:sz w:val="28"/>
          <w:szCs w:val="28"/>
        </w:rPr>
        <w:t xml:space="preserve">рублей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на оплату электроэнергии, транспортировки газа, воды, электричества по водо-газораспределительным и электрическим сетям в административном здании, на отопление административного здания.</w:t>
      </w:r>
    </w:p>
    <w:p w:rsidR="00B01302" w:rsidRDefault="00B01302" w:rsidP="00B01302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- уплата налога на имущество организаций и земельного налога- 45 737,00 рублей</w:t>
      </w:r>
      <w:r>
        <w:rPr>
          <w:sz w:val="28"/>
          <w:szCs w:val="28"/>
        </w:rPr>
        <w:t>.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- иные межбюджетные трансферты </w:t>
      </w:r>
      <w:r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122 155,00</w:t>
      </w:r>
      <w:r>
        <w:rPr>
          <w:sz w:val="28"/>
          <w:szCs w:val="28"/>
        </w:rPr>
        <w:t xml:space="preserve">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B01302" w:rsidRDefault="00B01302" w:rsidP="00B01302">
      <w:pPr>
        <w:tabs>
          <w:tab w:val="left" w:pos="42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- по передаче полномочий по правовому обеспечению сельского поселения </w:t>
      </w:r>
      <w:proofErr w:type="spellStart"/>
      <w:r>
        <w:rPr>
          <w:bCs/>
          <w:sz w:val="28"/>
          <w:szCs w:val="28"/>
        </w:rPr>
        <w:t>Кадниковское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соглашению №2 от 24.12.21 года </w:t>
      </w:r>
      <w:r>
        <w:rPr>
          <w:bCs/>
          <w:sz w:val="28"/>
          <w:szCs w:val="28"/>
        </w:rPr>
        <w:t>в сумме 122 155,00 рублей (исполнение составляет 100% от плановых назначений)</w:t>
      </w:r>
      <w:r>
        <w:rPr>
          <w:sz w:val="28"/>
          <w:szCs w:val="28"/>
        </w:rPr>
        <w:t>;</w:t>
      </w:r>
    </w:p>
    <w:p w:rsidR="00B01302" w:rsidRDefault="00B01302" w:rsidP="00B0130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«Осуществление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закона области от 08.12.2010 года № 2429-ОЗ «Об административных правонарушениях в Вологодской области», в соответствии с законом области от 28.11.2005года №1369-ОЗ «О наделении органов местного самоуправления отдельными государственными полномочиями в сфере административных отношений» - </w:t>
      </w:r>
      <w:r>
        <w:rPr>
          <w:b/>
          <w:sz w:val="28"/>
          <w:szCs w:val="28"/>
        </w:rPr>
        <w:t>2 000,00 рублей</w:t>
      </w:r>
      <w:r>
        <w:rPr>
          <w:sz w:val="28"/>
          <w:szCs w:val="28"/>
        </w:rPr>
        <w:t xml:space="preserve"> (100% от плановых назначений), в том числе на приобретение канцтоваров для составления протоколов - 2 000,00 рублей.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01 подраздел 06 «Обеспечение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</w:t>
      </w:r>
    </w:p>
    <w:p w:rsidR="00B01302" w:rsidRDefault="00B01302" w:rsidP="00B01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данному подразделу исполнены в сумме </w:t>
      </w:r>
      <w:r>
        <w:rPr>
          <w:b/>
          <w:sz w:val="28"/>
          <w:szCs w:val="28"/>
        </w:rPr>
        <w:t>96 800,00</w:t>
      </w:r>
      <w:r>
        <w:rPr>
          <w:sz w:val="28"/>
          <w:szCs w:val="28"/>
        </w:rPr>
        <w:t xml:space="preserve"> рублей или </w:t>
      </w:r>
      <w:r>
        <w:rPr>
          <w:b/>
          <w:sz w:val="28"/>
          <w:szCs w:val="28"/>
        </w:rPr>
        <w:t>100,00%</w:t>
      </w:r>
      <w:r>
        <w:rPr>
          <w:sz w:val="28"/>
          <w:szCs w:val="28"/>
        </w:rPr>
        <w:t xml:space="preserve"> от утвержденных бюджетных назначений,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B01302" w:rsidRDefault="00B01302" w:rsidP="00B0130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отражены ассигнования, перечисленные из бюджета сельского поселения </w:t>
      </w:r>
      <w:proofErr w:type="spellStart"/>
      <w:r>
        <w:rPr>
          <w:bCs/>
          <w:sz w:val="28"/>
          <w:szCs w:val="28"/>
        </w:rPr>
        <w:t>Кадниковское</w:t>
      </w:r>
      <w:proofErr w:type="spellEnd"/>
      <w:r>
        <w:rPr>
          <w:bCs/>
          <w:sz w:val="28"/>
          <w:szCs w:val="28"/>
        </w:rPr>
        <w:t xml:space="preserve"> в районный бюджет в сумме 96 800,00,00 рублей в соответствии с заключенными соглашениями:</w:t>
      </w:r>
    </w:p>
    <w:p w:rsidR="00B01302" w:rsidRDefault="00B01302" w:rsidP="00B0130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- по передаче полномочий контрольно-счетного органа сельского (городского) поселений </w:t>
      </w:r>
      <w:r>
        <w:rPr>
          <w:sz w:val="28"/>
          <w:szCs w:val="28"/>
        </w:rPr>
        <w:t xml:space="preserve">по соглашению №3 от 28.12.2021 года </w:t>
      </w:r>
      <w:r>
        <w:rPr>
          <w:bCs/>
          <w:sz w:val="28"/>
          <w:szCs w:val="28"/>
        </w:rPr>
        <w:t>в сумме 96 800,00 рублей (исполнение составляет 100% от плановых назначений)</w:t>
      </w:r>
    </w:p>
    <w:p w:rsidR="00B01302" w:rsidRDefault="00B01302" w:rsidP="00B0130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Соглашение о передаче полномочий по ведению внутреннего финансового контроля администрацией района не исполнено, осуществлен возврат перечисленных полномочий.</w:t>
      </w:r>
    </w:p>
    <w:p w:rsidR="00B01302" w:rsidRDefault="00B01302" w:rsidP="00B013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Раздел 01 подраздел 13 «Другие общегосударственные вопросы»</w:t>
      </w:r>
    </w:p>
    <w:p w:rsidR="00B01302" w:rsidRDefault="00B01302" w:rsidP="00B0130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Расходы по подразделу составили </w:t>
      </w:r>
      <w:r>
        <w:rPr>
          <w:b/>
          <w:sz w:val="28"/>
          <w:szCs w:val="28"/>
        </w:rPr>
        <w:t>463 267,27</w:t>
      </w:r>
      <w:r>
        <w:rPr>
          <w:sz w:val="28"/>
          <w:szCs w:val="28"/>
        </w:rPr>
        <w:t xml:space="preserve"> рублей или </w:t>
      </w:r>
      <w:r>
        <w:rPr>
          <w:b/>
          <w:sz w:val="28"/>
          <w:szCs w:val="28"/>
        </w:rPr>
        <w:t>98,5</w:t>
      </w:r>
      <w:r>
        <w:rPr>
          <w:sz w:val="28"/>
          <w:szCs w:val="28"/>
        </w:rPr>
        <w:t xml:space="preserve"> %  от утверждённых бюджетных назначений из них: </w:t>
      </w:r>
    </w:p>
    <w:p w:rsidR="00B01302" w:rsidRDefault="00B01302" w:rsidP="00B01302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- на электроэнергию и обслуживание пожарной сигнализации здания библиотеки, находящейся в казне,</w:t>
      </w:r>
      <w:r>
        <w:rPr>
          <w:bCs/>
          <w:sz w:val="28"/>
          <w:szCs w:val="28"/>
        </w:rPr>
        <w:t xml:space="preserve"> на кадастровые работы и подготовку схемы земельного участка, транспортный налог на автомобили, находящиеся в казне – 20 267,27 руб.</w:t>
      </w:r>
    </w:p>
    <w:p w:rsidR="00B01302" w:rsidRDefault="00B01302" w:rsidP="00B01302">
      <w:pPr>
        <w:tabs>
          <w:tab w:val="left" w:pos="42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- по передаче полномочий в части организации и ведения бухгалтерского учета сельского поселения </w:t>
      </w:r>
      <w:proofErr w:type="spellStart"/>
      <w:r>
        <w:rPr>
          <w:bCs/>
          <w:sz w:val="28"/>
          <w:szCs w:val="28"/>
        </w:rPr>
        <w:t>Кадниковское</w:t>
      </w:r>
      <w:proofErr w:type="spellEnd"/>
      <w:r>
        <w:rPr>
          <w:bCs/>
          <w:sz w:val="28"/>
          <w:szCs w:val="28"/>
        </w:rPr>
        <w:t xml:space="preserve"> по соглашению № 3 от 30.12.2021 года в сумме 437 500,00рублей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- расходы на уплату членского взноса в Ассоциацию «Совет муниципальных образований Вологодской области» - 5 500,00 рублей.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02 «НАЦИОНАЛЬНАЯ ОБОРОНА»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02 подраздел 03 «Мобилизационная и вневойсковая подготовка»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Произведены расходы на осуществление первичного воинского учета на территориях, где отсутствуют военные комиссариаты за счет средств федерального бюджета в сумме </w:t>
      </w:r>
      <w:r>
        <w:rPr>
          <w:b/>
          <w:sz w:val="28"/>
          <w:szCs w:val="28"/>
        </w:rPr>
        <w:t>113 400,00</w:t>
      </w:r>
      <w:r>
        <w:rPr>
          <w:sz w:val="28"/>
          <w:szCs w:val="28"/>
        </w:rPr>
        <w:t xml:space="preserve"> руб. (</w:t>
      </w:r>
      <w:r>
        <w:rPr>
          <w:b/>
          <w:sz w:val="28"/>
          <w:szCs w:val="28"/>
        </w:rPr>
        <w:t>100,0 %</w:t>
      </w:r>
      <w:r>
        <w:rPr>
          <w:sz w:val="28"/>
          <w:szCs w:val="28"/>
        </w:rPr>
        <w:t xml:space="preserve"> от утвержденных  бюджетных назначений)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выплату заработной платы и начисления на оплату труда</w:t>
      </w:r>
      <w:r>
        <w:rPr>
          <w:b/>
          <w:sz w:val="28"/>
          <w:szCs w:val="28"/>
        </w:rPr>
        <w:t>.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03 «НАЦИОНАЛЬНАЯ БЕЗОПАСНОСТЬ И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ПРАВООХРАНИТЕЛЬНАЯ ДЕЯТЕЛЬНОСТЬ» </w:t>
      </w:r>
    </w:p>
    <w:p w:rsidR="00B01302" w:rsidRDefault="00B01302" w:rsidP="00B01302">
      <w:pPr>
        <w:spacing w:line="268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03 подраздел 10</w:t>
      </w:r>
      <w:r>
        <w:rPr>
          <w:b/>
          <w:sz w:val="32"/>
          <w:szCs w:val="32"/>
        </w:rPr>
        <w:t xml:space="preserve"> </w:t>
      </w:r>
      <w:r>
        <w:rPr>
          <w:b/>
          <w:sz w:val="28"/>
          <w:szCs w:val="28"/>
        </w:rPr>
        <w:t>«Защита населения и территории от чрезвычайных ситуаций природного и техногенного характера, пожарная безопасность»</w:t>
      </w:r>
      <w:r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 xml:space="preserve">сумма расходов на организацию первичных мер пожарной безопасности в границах населенных пунктов поселения составила </w:t>
      </w:r>
      <w:r>
        <w:rPr>
          <w:b/>
          <w:sz w:val="28"/>
          <w:szCs w:val="28"/>
        </w:rPr>
        <w:t>80 000</w:t>
      </w:r>
      <w:r>
        <w:rPr>
          <w:sz w:val="28"/>
          <w:szCs w:val="28"/>
        </w:rPr>
        <w:t xml:space="preserve"> руб. или </w:t>
      </w:r>
      <w:r>
        <w:rPr>
          <w:b/>
          <w:sz w:val="28"/>
          <w:szCs w:val="28"/>
        </w:rPr>
        <w:t>100,0</w:t>
      </w:r>
      <w:r>
        <w:rPr>
          <w:sz w:val="28"/>
          <w:szCs w:val="28"/>
        </w:rPr>
        <w:t>% от утвержденных бюджетных назначений из них:</w:t>
      </w:r>
      <w:r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 xml:space="preserve">устройство и содержание пожарных </w:t>
      </w:r>
    </w:p>
    <w:p w:rsidR="00B01302" w:rsidRDefault="00B01302" w:rsidP="00B01302">
      <w:pPr>
        <w:spacing w:line="268" w:lineRule="atLeast"/>
        <w:jc w:val="both"/>
        <w:rPr>
          <w:b/>
          <w:sz w:val="32"/>
          <w:szCs w:val="32"/>
        </w:rPr>
      </w:pPr>
      <w:r>
        <w:rPr>
          <w:sz w:val="28"/>
          <w:szCs w:val="28"/>
        </w:rPr>
        <w:t>водоёмов и приобретение прочих МЗ (пожарные знаки, указатели).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04 «НАЦИОНАЛЬНАЯ ЭКОНОМИКА</w:t>
      </w:r>
      <w:r>
        <w:rPr>
          <w:sz w:val="28"/>
          <w:szCs w:val="28"/>
        </w:rPr>
        <w:t>»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По разделу 04 подраздел 09 «Дорожное хозяйство (дорожные фонды)»</w:t>
      </w:r>
      <w:r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 xml:space="preserve">расходы бюджета составили </w:t>
      </w:r>
      <w:r>
        <w:rPr>
          <w:b/>
          <w:sz w:val="28"/>
          <w:szCs w:val="28"/>
        </w:rPr>
        <w:t>2 096 809,66</w:t>
      </w:r>
      <w:r>
        <w:rPr>
          <w:sz w:val="28"/>
          <w:szCs w:val="28"/>
        </w:rPr>
        <w:t xml:space="preserve"> рублей (</w:t>
      </w:r>
      <w:r>
        <w:rPr>
          <w:b/>
          <w:sz w:val="28"/>
          <w:szCs w:val="28"/>
        </w:rPr>
        <w:t>100,0%</w:t>
      </w:r>
      <w:r>
        <w:rPr>
          <w:sz w:val="28"/>
          <w:szCs w:val="28"/>
        </w:rPr>
        <w:t xml:space="preserve"> от плана).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осуществление полномочий в части дорожной деятельности в отношении автомобильных дорог местного значения в границах населенных пунктов сельского поселения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 xml:space="preserve"> и обеспечение безопасности дорожного движения Администрацией района выделено финансовых средств за 2022 год в сумме 1 297 200,00 рублей, согласно Соглашения № 2 от 24.12.2021.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осуществление полномочий в части дорожной деятельности в отношении автомобильных дорог местного значения вне границ населенных пунктов в границах </w:t>
      </w:r>
      <w:proofErr w:type="spellStart"/>
      <w:r>
        <w:rPr>
          <w:sz w:val="28"/>
          <w:szCs w:val="28"/>
        </w:rPr>
        <w:t>Вожегодского</w:t>
      </w:r>
      <w:proofErr w:type="spellEnd"/>
      <w:r>
        <w:rPr>
          <w:sz w:val="28"/>
          <w:szCs w:val="28"/>
        </w:rPr>
        <w:t xml:space="preserve"> муниципального района и обеспечение безопасности дорожного движения Администрацией района выделено </w:t>
      </w:r>
      <w:r>
        <w:rPr>
          <w:sz w:val="28"/>
          <w:szCs w:val="28"/>
        </w:rPr>
        <w:lastRenderedPageBreak/>
        <w:t>финансовых средств за 2022 год в сумме 198 500,00 рублей, согласно Соглашения №2 от 24.12.2021 года.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по содержанию, капитальному ремонту и ремонту, строительству и реконструкции автомобильных дорог общего пользования местного значения за счёт бюджетных ассигнований Дорожного фонда </w:t>
      </w:r>
      <w:proofErr w:type="spellStart"/>
      <w:r>
        <w:rPr>
          <w:sz w:val="28"/>
          <w:szCs w:val="28"/>
        </w:rPr>
        <w:t>Вожегодского</w:t>
      </w:r>
      <w:proofErr w:type="spellEnd"/>
      <w:r>
        <w:rPr>
          <w:sz w:val="28"/>
          <w:szCs w:val="28"/>
        </w:rPr>
        <w:t xml:space="preserve"> муниципального района выделено финансовых средств за 2022 год в сумме 600 000,00 рублей, согласно Соглашению от 24.12.2021 года.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0412 «Другие вопросы в области национальной экономики»</w:t>
      </w:r>
      <w:r>
        <w:rPr>
          <w:sz w:val="28"/>
          <w:szCs w:val="28"/>
        </w:rPr>
        <w:t xml:space="preserve"> расходы бюджета составили </w:t>
      </w:r>
      <w:r>
        <w:rPr>
          <w:b/>
          <w:sz w:val="28"/>
          <w:szCs w:val="28"/>
        </w:rPr>
        <w:t>1 109,66</w:t>
      </w:r>
      <w:r>
        <w:rPr>
          <w:sz w:val="28"/>
          <w:szCs w:val="28"/>
        </w:rPr>
        <w:t xml:space="preserve"> рублей (</w:t>
      </w:r>
      <w:r>
        <w:rPr>
          <w:b/>
          <w:sz w:val="28"/>
          <w:szCs w:val="28"/>
        </w:rPr>
        <w:t>100</w:t>
      </w:r>
      <w:r>
        <w:rPr>
          <w:sz w:val="28"/>
          <w:szCs w:val="28"/>
        </w:rPr>
        <w:t>% от плана).</w:t>
      </w:r>
    </w:p>
    <w:p w:rsidR="00B01302" w:rsidRDefault="00B01302" w:rsidP="00B0130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по передаче полномочий по вопросам местного значения по созданию условий для обеспечения жителей поселения услугами торговли и бытового обслуживания </w:t>
      </w:r>
      <w:r>
        <w:rPr>
          <w:sz w:val="28"/>
          <w:szCs w:val="28"/>
        </w:rPr>
        <w:t xml:space="preserve">по соглашению №3 от 30.12.2021 года </w:t>
      </w:r>
      <w:r>
        <w:rPr>
          <w:bCs/>
          <w:sz w:val="28"/>
          <w:szCs w:val="28"/>
        </w:rPr>
        <w:t xml:space="preserve">в сумме 1 109,66 рублей. 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05 «ЖИЛИЩНО-КОММУНАЛЬНОЕ ХОЗЯЙСТВО» 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</w:t>
      </w:r>
      <w:r>
        <w:rPr>
          <w:b/>
          <w:sz w:val="28"/>
          <w:szCs w:val="28"/>
        </w:rPr>
        <w:t>0501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«Жилищное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хозяйство»</w:t>
      </w:r>
      <w:r>
        <w:rPr>
          <w:sz w:val="28"/>
          <w:szCs w:val="28"/>
        </w:rPr>
        <w:t xml:space="preserve"> составили </w:t>
      </w:r>
      <w:r>
        <w:rPr>
          <w:b/>
          <w:sz w:val="28"/>
          <w:szCs w:val="28"/>
        </w:rPr>
        <w:t>500 000,00</w:t>
      </w:r>
      <w:r>
        <w:rPr>
          <w:sz w:val="28"/>
          <w:szCs w:val="28"/>
        </w:rPr>
        <w:t xml:space="preserve"> рублей или </w:t>
      </w:r>
      <w:r>
        <w:rPr>
          <w:b/>
          <w:sz w:val="28"/>
          <w:szCs w:val="28"/>
        </w:rPr>
        <w:t>100 %</w:t>
      </w:r>
      <w:r>
        <w:rPr>
          <w:sz w:val="28"/>
          <w:szCs w:val="28"/>
        </w:rPr>
        <w:t xml:space="preserve"> от утвержденных бюджетных назначений, из них: закупка строительных материалов (</w:t>
      </w:r>
      <w:proofErr w:type="spellStart"/>
      <w:r>
        <w:rPr>
          <w:sz w:val="28"/>
          <w:szCs w:val="28"/>
        </w:rPr>
        <w:t>профнастил</w:t>
      </w:r>
      <w:proofErr w:type="spellEnd"/>
      <w:r>
        <w:rPr>
          <w:sz w:val="28"/>
          <w:szCs w:val="28"/>
        </w:rPr>
        <w:t xml:space="preserve">, кирпич, </w:t>
      </w:r>
      <w:proofErr w:type="spellStart"/>
      <w:r>
        <w:rPr>
          <w:sz w:val="28"/>
          <w:szCs w:val="28"/>
        </w:rPr>
        <w:t>саморезы</w:t>
      </w:r>
      <w:proofErr w:type="spellEnd"/>
      <w:r>
        <w:rPr>
          <w:sz w:val="28"/>
          <w:szCs w:val="28"/>
        </w:rPr>
        <w:t xml:space="preserve">, печные задвижки, дверцы и т.п.) и проведение капитального ремонта жилфонда в сельском поселении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>.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Работы по капитальному ремонту жилого фонда проводились согласно адресного плана капитального ремонта в сельском поселении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>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</w:t>
      </w:r>
      <w:r>
        <w:rPr>
          <w:b/>
          <w:sz w:val="28"/>
          <w:szCs w:val="28"/>
        </w:rPr>
        <w:t>0503 «Благоустройство»</w:t>
      </w:r>
      <w:r>
        <w:rPr>
          <w:sz w:val="28"/>
          <w:szCs w:val="28"/>
        </w:rPr>
        <w:t xml:space="preserve"> составили </w:t>
      </w:r>
      <w:r>
        <w:rPr>
          <w:b/>
          <w:sz w:val="28"/>
          <w:szCs w:val="28"/>
        </w:rPr>
        <w:t>1 205 361,57</w:t>
      </w:r>
      <w:r>
        <w:rPr>
          <w:sz w:val="28"/>
          <w:szCs w:val="28"/>
        </w:rPr>
        <w:t xml:space="preserve"> рублей или </w:t>
      </w:r>
      <w:r>
        <w:rPr>
          <w:b/>
          <w:sz w:val="28"/>
          <w:szCs w:val="28"/>
        </w:rPr>
        <w:t>93,52</w:t>
      </w:r>
      <w:r>
        <w:rPr>
          <w:sz w:val="28"/>
          <w:szCs w:val="28"/>
        </w:rPr>
        <w:t xml:space="preserve">% от утвержденных бюджетных назначений,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оплата транспортировки газа, воды, электричества по </w:t>
      </w:r>
      <w:proofErr w:type="spellStart"/>
      <w:r>
        <w:rPr>
          <w:sz w:val="28"/>
          <w:szCs w:val="28"/>
        </w:rPr>
        <w:t>водогазораспределительным</w:t>
      </w:r>
      <w:proofErr w:type="spellEnd"/>
      <w:r>
        <w:rPr>
          <w:sz w:val="28"/>
          <w:szCs w:val="28"/>
        </w:rPr>
        <w:t xml:space="preserve"> и электрическим сетям, уличное освещение, содержание и ремонт уличного освещения- 752 211,18 рублей.</w:t>
      </w:r>
    </w:p>
    <w:p w:rsidR="00B01302" w:rsidRDefault="00B01302" w:rsidP="00B01302">
      <w:pPr>
        <w:tabs>
          <w:tab w:val="left" w:pos="899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Уплата иных платежей</w:t>
      </w:r>
      <w:r>
        <w:rPr>
          <w:b/>
          <w:sz w:val="28"/>
          <w:szCs w:val="28"/>
        </w:rPr>
        <w:tab/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-на уплату пеней по уличному освещению – 53,61 рублей.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Организация и содержание мест захоронения</w:t>
      </w:r>
      <w:r>
        <w:rPr>
          <w:sz w:val="28"/>
          <w:szCs w:val="28"/>
        </w:rPr>
        <w:t xml:space="preserve"> – 24 725,64 рублей из них: обращение с ТКО, дезинсекция и дератизация мест захоронений.</w:t>
      </w:r>
    </w:p>
    <w:p w:rsidR="00B01302" w:rsidRDefault="00B01302" w:rsidP="00B01302">
      <w:pPr>
        <w:ind w:firstLine="426"/>
        <w:rPr>
          <w:sz w:val="28"/>
          <w:szCs w:val="28"/>
        </w:rPr>
      </w:pPr>
      <w:r>
        <w:rPr>
          <w:b/>
          <w:sz w:val="28"/>
          <w:szCs w:val="28"/>
        </w:rPr>
        <w:t>- Прочие мероприятия по благоустройству поселений</w:t>
      </w:r>
      <w:r>
        <w:rPr>
          <w:sz w:val="28"/>
          <w:szCs w:val="28"/>
        </w:rPr>
        <w:t xml:space="preserve"> – 48 371,14 рублей или 99,9 % от утвержденных бюджетных назначений из них: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приобретение ГСМ для скашивания травы в рамках благоустройства территории, приобретение прочих МЗ в рамках благоустройства территории, уборка деревьев в рамках благоустройства и уборка мусора на контейнерных площадках.</w:t>
      </w:r>
    </w:p>
    <w:p w:rsidR="00B01302" w:rsidRDefault="00B01302" w:rsidP="00B01302">
      <w:pPr>
        <w:ind w:firstLine="426"/>
        <w:rPr>
          <w:sz w:val="28"/>
          <w:szCs w:val="28"/>
        </w:rPr>
      </w:pPr>
      <w:r>
        <w:rPr>
          <w:b/>
          <w:sz w:val="28"/>
          <w:szCs w:val="28"/>
        </w:rPr>
        <w:t xml:space="preserve"> Реализация проекта «Народный бюджет» </w:t>
      </w:r>
      <w:r>
        <w:rPr>
          <w:sz w:val="28"/>
          <w:szCs w:val="28"/>
        </w:rPr>
        <w:t>- 380 000,00 рублей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>100,0</w:t>
      </w:r>
      <w:r>
        <w:rPr>
          <w:sz w:val="28"/>
          <w:szCs w:val="28"/>
        </w:rPr>
        <w:t xml:space="preserve"> % от плановых назначений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и установка детского спортивно-игрового комплекса в сельском поселении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 xml:space="preserve"> – 380 000,00 рублей,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за счет средств областного бюджета 266 000,00 рублей; за счет средств бюджета поселения 91 200,00 рублей; за счет добровольных пожертвований физических лиц 22 800,00 рублей.</w:t>
      </w: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Сведения о направлении расходов бюджета</w:t>
      </w: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Кадниковское</w:t>
      </w:r>
      <w:proofErr w:type="spellEnd"/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проекту «Народный бюджет» за 2022 год</w:t>
      </w: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1268"/>
        <w:gridCol w:w="1454"/>
        <w:gridCol w:w="1396"/>
        <w:gridCol w:w="1447"/>
        <w:gridCol w:w="1801"/>
      </w:tblGrid>
      <w:tr w:rsidR="00B01302" w:rsidTr="00B01302">
        <w:trPr>
          <w:jc w:val="center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 счет средств областного бюджета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 счет средств бюджета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 счет добровольных пожертвований физических лиц</w:t>
            </w:r>
          </w:p>
        </w:tc>
      </w:tr>
      <w:tr w:rsidR="00B01302" w:rsidTr="00B01302">
        <w:trPr>
          <w:jc w:val="center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приобретению уличных тренажеров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«Народный бюджет»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91 200,00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22 800,00</w:t>
            </w:r>
          </w:p>
        </w:tc>
      </w:tr>
      <w:tr w:rsidR="00B01302" w:rsidTr="00B01302">
        <w:trPr>
          <w:jc w:val="center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02" w:rsidRDefault="00B013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91 200,00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22 800,00</w:t>
            </w:r>
          </w:p>
        </w:tc>
      </w:tr>
    </w:tbl>
    <w:p w:rsidR="00B01302" w:rsidRDefault="00B01302" w:rsidP="00B01302">
      <w:pPr>
        <w:jc w:val="center"/>
        <w:rPr>
          <w:b/>
          <w:sz w:val="28"/>
          <w:szCs w:val="28"/>
        </w:rPr>
      </w:pPr>
    </w:p>
    <w:p w:rsidR="00B01302" w:rsidRDefault="00B01302" w:rsidP="00B0130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 07 «ОБРАЗОВАНИЕ»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Раздел 07 подраздел 07 «Молодежная политика»  </w:t>
      </w:r>
      <w:r>
        <w:rPr>
          <w:sz w:val="28"/>
          <w:szCs w:val="28"/>
        </w:rPr>
        <w:t>отражены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расходы, осуществленные за 2022 год из бюджета сельского поселения </w:t>
      </w:r>
      <w:r>
        <w:rPr>
          <w:b/>
          <w:sz w:val="28"/>
          <w:szCs w:val="28"/>
        </w:rPr>
        <w:t>4 000,00</w:t>
      </w:r>
      <w:r>
        <w:rPr>
          <w:sz w:val="28"/>
          <w:szCs w:val="28"/>
        </w:rPr>
        <w:t xml:space="preserve"> или </w:t>
      </w:r>
      <w:r>
        <w:rPr>
          <w:b/>
          <w:sz w:val="28"/>
          <w:szCs w:val="28"/>
        </w:rPr>
        <w:t>100%</w:t>
      </w:r>
      <w:r>
        <w:rPr>
          <w:sz w:val="28"/>
          <w:szCs w:val="28"/>
        </w:rPr>
        <w:t xml:space="preserve"> от плановых назначений из них: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транспортные услуги по перевозке участников молодежного конкурса – 4 000,00 рублей.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08 «КУЛЬТУРА, КИНЕМАТОГРАФИЯ И 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МАССОВОЙ ИНФОРМАЦИИ»</w:t>
      </w:r>
    </w:p>
    <w:p w:rsidR="00B01302" w:rsidRDefault="00B01302" w:rsidP="00B0130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подразделу </w:t>
      </w:r>
      <w:r>
        <w:rPr>
          <w:b/>
          <w:sz w:val="28"/>
          <w:szCs w:val="28"/>
        </w:rPr>
        <w:t xml:space="preserve">0801 «Культура» </w:t>
      </w:r>
      <w:r>
        <w:rPr>
          <w:sz w:val="28"/>
          <w:szCs w:val="28"/>
        </w:rPr>
        <w:t>отражены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ассигнования, перечисленные за 2022 год из бюджета сельского поселения на содержание муниципального бюджетного учреждения культуры «</w:t>
      </w:r>
      <w:proofErr w:type="spellStart"/>
      <w:r>
        <w:rPr>
          <w:sz w:val="28"/>
          <w:szCs w:val="28"/>
        </w:rPr>
        <w:t>Кадниковский</w:t>
      </w:r>
      <w:proofErr w:type="spellEnd"/>
      <w:r>
        <w:rPr>
          <w:sz w:val="28"/>
          <w:szCs w:val="28"/>
        </w:rPr>
        <w:t xml:space="preserve"> Дом культуры». Общая сумма расходов составила </w:t>
      </w:r>
      <w:r>
        <w:rPr>
          <w:b/>
          <w:sz w:val="28"/>
          <w:szCs w:val="28"/>
        </w:rPr>
        <w:t xml:space="preserve">3 263 900,00 </w:t>
      </w:r>
      <w:r>
        <w:rPr>
          <w:sz w:val="28"/>
          <w:szCs w:val="28"/>
        </w:rPr>
        <w:t>рублей (</w:t>
      </w:r>
      <w:r>
        <w:rPr>
          <w:b/>
          <w:sz w:val="28"/>
          <w:szCs w:val="28"/>
        </w:rPr>
        <w:t>100%</w:t>
      </w:r>
      <w:r>
        <w:rPr>
          <w:sz w:val="28"/>
          <w:szCs w:val="28"/>
        </w:rPr>
        <w:t xml:space="preserve"> от утвержденных бюджетных назначений). </w:t>
      </w:r>
    </w:p>
    <w:p w:rsidR="00B01302" w:rsidRDefault="00B01302" w:rsidP="00B0130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субсидии БУ на финансовое обеспечение выполнения муниципального </w:t>
      </w:r>
    </w:p>
    <w:p w:rsidR="00B01302" w:rsidRDefault="00B01302" w:rsidP="00B0130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задания на оказание услуг (выполнение работ) в сумме 2 661 400,00 рублей или 100% от плановых назначений;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 передаче осуществления полномочий по решению вопросов местного значения по обеспечению жителей сельского поселения </w:t>
      </w:r>
      <w:proofErr w:type="spellStart"/>
      <w:r>
        <w:rPr>
          <w:bCs/>
          <w:sz w:val="28"/>
          <w:szCs w:val="28"/>
        </w:rPr>
        <w:t>Кадниковское</w:t>
      </w:r>
      <w:proofErr w:type="spellEnd"/>
      <w:r>
        <w:rPr>
          <w:bCs/>
          <w:sz w:val="28"/>
          <w:szCs w:val="28"/>
        </w:rPr>
        <w:t xml:space="preserve"> услугами организаций культуры по соглашению № 7 от 24.12.2021 года в сумме 7 500,00 рублей (исполнение составляет 100% от плановых назначений);</w:t>
      </w:r>
    </w:p>
    <w:p w:rsidR="00B01302" w:rsidRDefault="00B01302" w:rsidP="00B01302">
      <w:pPr>
        <w:ind w:firstLine="426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Реализация проекта «Народный бюджет» </w:t>
      </w:r>
      <w:r>
        <w:rPr>
          <w:sz w:val="28"/>
          <w:szCs w:val="28"/>
        </w:rPr>
        <w:t>595 000,00 рублей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>100,0</w:t>
      </w:r>
      <w:r>
        <w:rPr>
          <w:sz w:val="28"/>
          <w:szCs w:val="28"/>
        </w:rPr>
        <w:t xml:space="preserve"> % от плановых назначений:</w:t>
      </w:r>
      <w:r>
        <w:t xml:space="preserve"> </w:t>
      </w:r>
      <w:r>
        <w:rPr>
          <w:sz w:val="28"/>
          <w:szCs w:val="28"/>
        </w:rPr>
        <w:t xml:space="preserve">приобретению кресел в зрительный зал </w:t>
      </w:r>
      <w:proofErr w:type="spellStart"/>
      <w:r>
        <w:rPr>
          <w:sz w:val="28"/>
          <w:szCs w:val="28"/>
        </w:rPr>
        <w:t>Кадниковского</w:t>
      </w:r>
      <w:proofErr w:type="spellEnd"/>
      <w:r>
        <w:rPr>
          <w:sz w:val="28"/>
          <w:szCs w:val="28"/>
        </w:rPr>
        <w:t xml:space="preserve"> Дома культуры в п. </w:t>
      </w:r>
      <w:proofErr w:type="spellStart"/>
      <w:r>
        <w:rPr>
          <w:sz w:val="28"/>
          <w:szCs w:val="28"/>
        </w:rPr>
        <w:t>Кадниковский</w:t>
      </w:r>
      <w:proofErr w:type="spellEnd"/>
      <w:r>
        <w:rPr>
          <w:sz w:val="28"/>
          <w:szCs w:val="28"/>
        </w:rPr>
        <w:t xml:space="preserve"> в рамках проекта «Народный бюджет».</w:t>
      </w: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Сведения о направлении расходов бюджета</w:t>
      </w: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Кадниковское</w:t>
      </w:r>
      <w:proofErr w:type="spellEnd"/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по проекту «Народный бюджет» за 2022 год</w:t>
      </w:r>
    </w:p>
    <w:p w:rsidR="00B01302" w:rsidRDefault="00B01302" w:rsidP="00B01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1268"/>
        <w:gridCol w:w="1450"/>
        <w:gridCol w:w="1396"/>
        <w:gridCol w:w="1443"/>
        <w:gridCol w:w="1801"/>
      </w:tblGrid>
      <w:tr w:rsidR="00B01302" w:rsidTr="00B01302">
        <w:trPr>
          <w:jc w:val="center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 счет средств областного бюджета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 счет средств бюджета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 счет добровольных пожертвований физических лиц</w:t>
            </w:r>
          </w:p>
        </w:tc>
      </w:tr>
      <w:tr w:rsidR="00B01302" w:rsidTr="00B01302">
        <w:trPr>
          <w:jc w:val="center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приобретению кресел в зрительный зал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«Народный бюджет»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416 500,00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142 800,00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35 700,00</w:t>
            </w:r>
          </w:p>
        </w:tc>
      </w:tr>
      <w:tr w:rsidR="00B01302" w:rsidTr="00B01302">
        <w:trPr>
          <w:jc w:val="center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02" w:rsidRDefault="00B013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416 500,00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142 800,00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35 700,00</w:t>
            </w:r>
          </w:p>
        </w:tc>
      </w:tr>
    </w:tbl>
    <w:p w:rsidR="00B01302" w:rsidRDefault="00B01302" w:rsidP="00B01302">
      <w:pPr>
        <w:tabs>
          <w:tab w:val="left" w:pos="426"/>
        </w:tabs>
        <w:ind w:firstLine="426"/>
        <w:jc w:val="both"/>
        <w:rPr>
          <w:bCs/>
          <w:sz w:val="28"/>
          <w:szCs w:val="28"/>
        </w:rPr>
      </w:pPr>
    </w:p>
    <w:p w:rsidR="00B01302" w:rsidRDefault="00B01302" w:rsidP="00B01302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10 «СОЦИАЛЬНАЯ ПОЛИТИКА»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</w:t>
      </w:r>
      <w:r>
        <w:rPr>
          <w:b/>
          <w:sz w:val="28"/>
          <w:szCs w:val="28"/>
        </w:rPr>
        <w:t xml:space="preserve">1001 «Пенсионное обеспечение» </w:t>
      </w:r>
      <w:r>
        <w:rPr>
          <w:sz w:val="28"/>
          <w:szCs w:val="28"/>
        </w:rPr>
        <w:t xml:space="preserve">отражены расходы в суме </w:t>
      </w:r>
      <w:r>
        <w:rPr>
          <w:b/>
          <w:sz w:val="28"/>
          <w:szCs w:val="28"/>
        </w:rPr>
        <w:t>294 528,46</w:t>
      </w:r>
      <w:r>
        <w:rPr>
          <w:sz w:val="28"/>
          <w:szCs w:val="28"/>
        </w:rPr>
        <w:t xml:space="preserve"> рублей, исполнение составляет </w:t>
      </w:r>
      <w:r>
        <w:rPr>
          <w:b/>
          <w:sz w:val="28"/>
          <w:szCs w:val="28"/>
        </w:rPr>
        <w:t>100,0</w:t>
      </w:r>
      <w:r>
        <w:rPr>
          <w:sz w:val="28"/>
          <w:szCs w:val="28"/>
        </w:rPr>
        <w:t>% от плановых назначений, из них:</w:t>
      </w:r>
    </w:p>
    <w:p w:rsidR="00B01302" w:rsidRDefault="00B01302" w:rsidP="00B0130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доплаты к пенсиям, в соответствии с законом Вологодской области от 26.12.2007 года № 1728-ОЗ «О некоторых гарантиях осуществления полномочий глав муниципальных образований Вологодской области» в сумме – 260 389,23 рублей или 100,0% от плановых назначений (на 01.01.2023 года количество лиц, получающих доплату к государственной пенсии – 2 человека). </w:t>
      </w:r>
    </w:p>
    <w:p w:rsidR="00B01302" w:rsidRDefault="00B01302" w:rsidP="00B01302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подразделу </w:t>
      </w:r>
      <w:r>
        <w:rPr>
          <w:b/>
          <w:sz w:val="28"/>
          <w:szCs w:val="28"/>
        </w:rPr>
        <w:t xml:space="preserve">1003 «Социальное обеспечение населения» </w:t>
      </w:r>
      <w:r>
        <w:rPr>
          <w:sz w:val="28"/>
          <w:szCs w:val="28"/>
        </w:rPr>
        <w:t>отражены расходы на обеспечение ежемесячных денежных выплат (на оплату жилья, отопления, освещения) отдельным категориям граждан, проживающим и работающим в сельской местности в сумме – 34 139,23 рублей или 100% от плановых назначений (на 01.01.2023г. количество лиц, получающих ЕДВ – 4 человека).</w:t>
      </w:r>
    </w:p>
    <w:p w:rsidR="00B01302" w:rsidRDefault="00B01302" w:rsidP="00B01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11 «МАССОВЫЙ СПОРТ»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подразделу </w:t>
      </w:r>
      <w:r>
        <w:rPr>
          <w:b/>
          <w:sz w:val="28"/>
          <w:szCs w:val="28"/>
        </w:rPr>
        <w:t>1102 «Физкультурно-оздоровительная работа и спортивные мероприятия»</w:t>
      </w:r>
      <w:r>
        <w:rPr>
          <w:sz w:val="28"/>
          <w:szCs w:val="28"/>
        </w:rPr>
        <w:t xml:space="preserve"> учтены расходы в сумме </w:t>
      </w:r>
      <w:r>
        <w:rPr>
          <w:b/>
          <w:sz w:val="28"/>
          <w:szCs w:val="28"/>
        </w:rPr>
        <w:t>120 000,00</w:t>
      </w:r>
      <w:r>
        <w:rPr>
          <w:sz w:val="28"/>
          <w:szCs w:val="28"/>
        </w:rPr>
        <w:t xml:space="preserve"> рублей, исполнение составляет </w:t>
      </w:r>
      <w:r>
        <w:rPr>
          <w:b/>
          <w:sz w:val="28"/>
          <w:szCs w:val="28"/>
        </w:rPr>
        <w:t>96,0</w:t>
      </w:r>
      <w:r>
        <w:rPr>
          <w:sz w:val="28"/>
          <w:szCs w:val="28"/>
        </w:rPr>
        <w:t xml:space="preserve"> % от плановых назначений из них:</w:t>
      </w:r>
    </w:p>
    <w:p w:rsidR="00B01302" w:rsidRDefault="00B01302" w:rsidP="00B01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реализация мероприятий муниципальной программы "Развитие физической культуры и спорта, укрепление здоровья населения сельского поселения </w:t>
      </w:r>
      <w:proofErr w:type="spellStart"/>
      <w:r>
        <w:rPr>
          <w:sz w:val="28"/>
          <w:szCs w:val="28"/>
        </w:rPr>
        <w:t>Кадниковское</w:t>
      </w:r>
      <w:proofErr w:type="spellEnd"/>
      <w:r>
        <w:rPr>
          <w:sz w:val="28"/>
          <w:szCs w:val="28"/>
        </w:rPr>
        <w:t xml:space="preserve"> на 2021-2023 годы" – 75 000,00 рублей или 93,75% от плановых назначений,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перевозка участников спортивных соревнований, содержание лыжни для организации физической культуры и спорта населения.</w:t>
      </w:r>
    </w:p>
    <w:p w:rsidR="00B01302" w:rsidRDefault="00B01302" w:rsidP="00B0130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Расходы по подразделу </w:t>
      </w:r>
      <w:r>
        <w:rPr>
          <w:b/>
          <w:sz w:val="28"/>
          <w:szCs w:val="28"/>
        </w:rPr>
        <w:t>1102</w:t>
      </w:r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Передача полномочий в области физической культуры и спорта» </w:t>
      </w:r>
      <w:r>
        <w:rPr>
          <w:sz w:val="28"/>
          <w:szCs w:val="28"/>
        </w:rPr>
        <w:t>исполнены на 100,0% (45 000,00 рублей).</w:t>
      </w:r>
    </w:p>
    <w:p w:rsidR="00B01302" w:rsidRDefault="00B01302" w:rsidP="00B01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средства на передачу полномочий в области физической  культуры и спорта по соглашению  № 3 от 24.12.2021 г. 45 000,00 рублей или 100% от плановых назначений.</w:t>
      </w:r>
      <w:r>
        <w:t xml:space="preserve"> </w:t>
      </w:r>
    </w:p>
    <w:p w:rsidR="00B01302" w:rsidRDefault="00B01302" w:rsidP="00B01302">
      <w:pPr>
        <w:jc w:val="center"/>
        <w:rPr>
          <w:sz w:val="28"/>
          <w:szCs w:val="28"/>
        </w:rPr>
      </w:pPr>
    </w:p>
    <w:p w:rsidR="00B01302" w:rsidRDefault="00B01302" w:rsidP="00B013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программы сельского поселения </w:t>
      </w:r>
      <w:proofErr w:type="spellStart"/>
      <w:r>
        <w:rPr>
          <w:sz w:val="28"/>
          <w:szCs w:val="28"/>
        </w:rPr>
        <w:t>Кадниковское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4"/>
        <w:gridCol w:w="1690"/>
        <w:gridCol w:w="1815"/>
        <w:gridCol w:w="1702"/>
      </w:tblGrid>
      <w:tr w:rsidR="00B01302" w:rsidTr="00B0130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Наименование муниципальных  программ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Утверждено на 2022 год (тыс. руб.)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Фактически исполнено (тыс. 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 xml:space="preserve">Процент исполнения к годовому плану, % </w:t>
            </w:r>
          </w:p>
        </w:tc>
      </w:tr>
      <w:tr w:rsidR="00B01302" w:rsidTr="00B0130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both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 xml:space="preserve">Муниципальная программа "Развитие физической культуры и спорта, укрепление здоровья населения сельского поселения </w:t>
            </w:r>
            <w:proofErr w:type="spellStart"/>
            <w:r>
              <w:rPr>
                <w:rStyle w:val="hl41"/>
                <w:b w:val="0"/>
              </w:rPr>
              <w:t>Кадниковское</w:t>
            </w:r>
            <w:proofErr w:type="spellEnd"/>
            <w:r>
              <w:rPr>
                <w:rStyle w:val="hl41"/>
                <w:b w:val="0"/>
              </w:rPr>
              <w:t xml:space="preserve"> на 2021-2024 годы"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80,0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75,0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93,75</w:t>
            </w:r>
          </w:p>
        </w:tc>
      </w:tr>
      <w:tr w:rsidR="00B01302" w:rsidTr="00B0130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программа «Сохранение и развитие учреждений культуры  на территории сельского поселения </w:t>
            </w:r>
            <w:proofErr w:type="spellStart"/>
            <w:r>
              <w:rPr>
                <w:bCs/>
                <w:sz w:val="20"/>
                <w:szCs w:val="20"/>
              </w:rPr>
              <w:t>Кадниковское</w:t>
            </w:r>
            <w:proofErr w:type="spellEnd"/>
            <w:r>
              <w:rPr>
                <w:bCs/>
                <w:sz w:val="20"/>
                <w:szCs w:val="20"/>
              </w:rPr>
              <w:t xml:space="preserve"> на 2021-2024 годы»</w:t>
            </w:r>
            <w:r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2661,4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2661,4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100,0</w:t>
            </w:r>
          </w:p>
        </w:tc>
      </w:tr>
      <w:tr w:rsidR="00B01302" w:rsidTr="00B0130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jc w:val="both"/>
              <w:rPr>
                <w:rStyle w:val="hl41"/>
              </w:rPr>
            </w:pPr>
            <w:r>
              <w:rPr>
                <w:bCs/>
                <w:sz w:val="20"/>
                <w:szCs w:val="20"/>
              </w:rPr>
              <w:t xml:space="preserve">Муниципальная программа «Обеспечение пожарной безопасности на территории сельского поселения </w:t>
            </w:r>
            <w:proofErr w:type="spellStart"/>
            <w:r>
              <w:rPr>
                <w:bCs/>
                <w:sz w:val="20"/>
                <w:szCs w:val="20"/>
              </w:rPr>
              <w:t>Кадниковское</w:t>
            </w:r>
            <w:proofErr w:type="spellEnd"/>
            <w:r>
              <w:rPr>
                <w:bCs/>
                <w:sz w:val="20"/>
                <w:szCs w:val="20"/>
              </w:rPr>
              <w:t xml:space="preserve"> на 2021-2024 годы»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80,0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100,0</w:t>
            </w:r>
          </w:p>
        </w:tc>
      </w:tr>
      <w:tr w:rsidR="00B01302" w:rsidTr="00B0130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tabs>
                <w:tab w:val="center" w:pos="2157"/>
                <w:tab w:val="left" w:pos="3210"/>
              </w:tabs>
              <w:rPr>
                <w:rStyle w:val="hl41"/>
              </w:rPr>
            </w:pPr>
            <w:r>
              <w:rPr>
                <w:rStyle w:val="hl41"/>
              </w:rPr>
              <w:tab/>
              <w:t>Итого:</w:t>
            </w:r>
            <w:r>
              <w:rPr>
                <w:rStyle w:val="hl41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</w:rPr>
            </w:pPr>
            <w:r>
              <w:rPr>
                <w:rStyle w:val="hl41"/>
              </w:rPr>
              <w:t>2821,4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</w:rPr>
            </w:pPr>
            <w:r>
              <w:rPr>
                <w:rStyle w:val="hl41"/>
              </w:rPr>
              <w:t>2816,4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02" w:rsidRDefault="00B01302">
            <w:pPr>
              <w:pStyle w:val="a3"/>
              <w:jc w:val="center"/>
              <w:rPr>
                <w:rStyle w:val="hl41"/>
              </w:rPr>
            </w:pPr>
            <w:r>
              <w:rPr>
                <w:rStyle w:val="hl41"/>
              </w:rPr>
              <w:t>99,82</w:t>
            </w:r>
          </w:p>
        </w:tc>
      </w:tr>
    </w:tbl>
    <w:p w:rsidR="00B01302" w:rsidRDefault="00B01302" w:rsidP="00B01302">
      <w:pPr>
        <w:pStyle w:val="a4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9F7190" w:rsidRDefault="009F7190"/>
    <w:sectPr w:rsidR="009F7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2"/>
    <w:rsid w:val="009F7190"/>
    <w:rsid w:val="00A777E1"/>
    <w:rsid w:val="00B0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DE9D"/>
  <w15:docId w15:val="{A83A913F-0BAA-4B9B-BDE7-A0DD41BD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130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01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13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41">
    <w:name w:val="hl41"/>
    <w:rsid w:val="00B013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Ю.В.</cp:lastModifiedBy>
  <cp:revision>2</cp:revision>
  <dcterms:created xsi:type="dcterms:W3CDTF">2023-03-21T08:10:00Z</dcterms:created>
  <dcterms:modified xsi:type="dcterms:W3CDTF">2023-03-21T11:35:00Z</dcterms:modified>
</cp:coreProperties>
</file>