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A94B54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92BB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7F19" w:rsidRPr="00A94B54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A94B54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A94B54" w:rsidRDefault="000C7F0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94B54">
        <w:rPr>
          <w:rFonts w:ascii="Times New Roman" w:hAnsi="Times New Roman"/>
          <w:sz w:val="26"/>
          <w:szCs w:val="26"/>
          <w:lang w:eastAsia="ru-RU"/>
        </w:rPr>
        <w:t>п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результатам внешней проверки отчета об исполне</w:t>
      </w:r>
      <w:r w:rsidR="000520AF" w:rsidRPr="00A94B54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182A32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</w:t>
      </w:r>
      <w:r w:rsidR="006D00E1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0520A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A94B54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DF4DB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A738C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A94B54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 xml:space="preserve">го поселения Тигинское </w:t>
      </w:r>
      <w:r w:rsidR="00A738C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79C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00E1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DF4DB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051DB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2</w:t>
      </w:r>
      <w:r w:rsid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>.03.201</w:t>
      </w:r>
      <w:r w:rsidR="00DF4DBC" w:rsidRPr="00A94B54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 w:rsidR="00A94B54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 xml:space="preserve">  №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4B54">
        <w:rPr>
          <w:rFonts w:ascii="Times New Roman" w:hAnsi="Times New Roman"/>
          <w:sz w:val="26"/>
          <w:szCs w:val="26"/>
          <w:lang w:eastAsia="ru-RU"/>
        </w:rPr>
        <w:t>32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DF4DBC" w:rsidRPr="00A94B54">
        <w:rPr>
          <w:rFonts w:ascii="Times New Roman" w:hAnsi="Times New Roman"/>
          <w:sz w:val="26"/>
          <w:szCs w:val="26"/>
          <w:lang w:eastAsia="ru-RU"/>
        </w:rPr>
        <w:t>Бюджетный кодекс РФ от 31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июля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1998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145-ФЗ;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131-ФЗ «Об общих принципах организации местного самоуправления в Рос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сийской Федерации» (в ред. от 29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.12.201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2011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-Положение о бюджетном процессе в сельском поселении</w:t>
      </w:r>
      <w:r w:rsidR="00AA41D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038F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A94B54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5F7FE9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DC019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от 26.06.2014 года № 33</w:t>
      </w:r>
      <w:r w:rsidR="003A32B3" w:rsidRPr="00A94B54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2012года №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A94B54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97671D" w:rsidRPr="0097671D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A94B54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>от 2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8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5C4871" w:rsidRPr="00A94B54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>28</w:t>
      </w:r>
      <w:r w:rsidR="009C6EA6" w:rsidRPr="00A94B54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A94B54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135552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291A3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от 09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янва</w:t>
      </w:r>
      <w:r w:rsidR="0095628A" w:rsidRPr="00A94B54">
        <w:rPr>
          <w:rFonts w:ascii="Times New Roman" w:hAnsi="Times New Roman"/>
          <w:sz w:val="26"/>
          <w:szCs w:val="26"/>
          <w:lang w:eastAsia="ru-RU"/>
        </w:rPr>
        <w:t>ря</w:t>
      </w:r>
      <w:r w:rsidR="00B61325" w:rsidRPr="00A94B54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A94B54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31 декабря 2017</w:t>
      </w:r>
      <w:r w:rsidR="00B6132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7221A3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0C7F09" w:rsidRPr="00A94B54" w:rsidRDefault="000C7F0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A94B54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0C7F09" w:rsidRPr="00A94B54" w:rsidRDefault="000C7F0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A94B54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A94B54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</w:t>
      </w:r>
      <w:r w:rsidR="00C3639D" w:rsidRPr="00A94B54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="00F9254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17BB4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3A32B3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="00F9254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за 201</w:t>
      </w:r>
      <w:r w:rsidR="003A32B3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A94B54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A94B54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A94B54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A94B54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A94B54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A94B54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A94B54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A94B54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(ф.0503140)</w:t>
      </w:r>
    </w:p>
    <w:p w:rsidR="00051DB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</w:t>
      </w:r>
    </w:p>
    <w:p w:rsidR="00A07F19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0503110</w:t>
        </w:r>
        <w:r w:rsidR="006F0C6D" w:rsidRPr="00A94B54">
          <w:rPr>
            <w:rFonts w:ascii="Times New Roman" w:hAnsi="Times New Roman"/>
            <w:sz w:val="26"/>
            <w:szCs w:val="26"/>
            <w:lang w:eastAsia="ru-RU"/>
          </w:rPr>
          <w:t xml:space="preserve"> (1</w:t>
        </w:r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2</w:t>
        </w:r>
        <w:r w:rsidR="006F0C6D" w:rsidRPr="00A94B54">
          <w:rPr>
            <w:rFonts w:ascii="Times New Roman" w:hAnsi="Times New Roman"/>
            <w:sz w:val="26"/>
            <w:szCs w:val="26"/>
            <w:lang w:eastAsia="ru-RU"/>
          </w:rPr>
          <w:t>0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))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7D7F4F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0503110 (130)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051DB1" w:rsidRPr="00A94B54" w:rsidRDefault="007D7F4F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1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0503110 (140)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051DB1" w:rsidRPr="00A94B54" w:rsidRDefault="00C70C1A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2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3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="00A07F19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4" w:history="1">
        <w:r w:rsidR="00A07F19" w:rsidRPr="00A94B54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51DB1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(ф.0503124);</w:t>
      </w:r>
    </w:p>
    <w:p w:rsidR="00051DB1" w:rsidRPr="00A94B54" w:rsidRDefault="00C70C1A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A83583" w:rsidRPr="00A94B54" w:rsidRDefault="00C70C1A" w:rsidP="00051D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31E4" w:rsidRPr="00A94B54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5" w:history="1">
        <w:r w:rsidR="007B31E4" w:rsidRPr="00A94B54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="007B31E4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="00C63D0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3583" w:rsidRPr="00A94B54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3A2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6" w:history="1">
        <w:r w:rsidR="00051DB1" w:rsidRPr="00A94B54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="00051DB1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20004F" w:rsidRPr="00A94B54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A94B54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A94B54">
        <w:rPr>
          <w:rFonts w:ascii="Times New Roman" w:hAnsi="Times New Roman"/>
          <w:sz w:val="26"/>
          <w:szCs w:val="26"/>
          <w:lang w:eastAsia="ru-RU"/>
        </w:rPr>
        <w:t>учреждений (</w:t>
      </w:r>
      <w:r w:rsidR="0020004F" w:rsidRPr="00A94B54">
        <w:rPr>
          <w:rFonts w:ascii="Times New Roman" w:hAnsi="Times New Roman"/>
          <w:sz w:val="26"/>
          <w:szCs w:val="26"/>
          <w:lang w:eastAsia="ru-RU"/>
        </w:rPr>
        <w:t>ф.0503161)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="002D5289"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</w:p>
    <w:p w:rsidR="006957F1" w:rsidRPr="00A94B54" w:rsidRDefault="006957F1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Сведения об изменениях бюджетной р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осписи главного росписи главного </w:t>
      </w:r>
      <w:r w:rsidRPr="00A94B54">
        <w:rPr>
          <w:rFonts w:ascii="Times New Roman" w:hAnsi="Times New Roman"/>
          <w:sz w:val="26"/>
          <w:szCs w:val="26"/>
          <w:lang w:eastAsia="ru-RU"/>
        </w:rPr>
        <w:t>распорядителя бюджетных средств, гла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>вного администратора источников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финансирования дефицита бюджета (ф.0503163)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22A42" w:rsidRPr="00A94B54" w:rsidRDefault="006957F1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</w:t>
      </w:r>
      <w:r w:rsidR="00022A42" w:rsidRPr="00A94B54">
        <w:rPr>
          <w:rFonts w:ascii="Times New Roman" w:hAnsi="Times New Roman"/>
          <w:sz w:val="26"/>
          <w:szCs w:val="26"/>
          <w:lang w:eastAsia="ru-RU"/>
        </w:rPr>
        <w:t>об исполнении бюджета (ф.0503164)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7B300F" w:rsidRPr="00A94B54" w:rsidRDefault="00022A4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о движении </w:t>
      </w:r>
      <w:r w:rsidR="007B300F" w:rsidRPr="00A94B54">
        <w:rPr>
          <w:rFonts w:ascii="Times New Roman" w:hAnsi="Times New Roman"/>
          <w:sz w:val="26"/>
          <w:szCs w:val="26"/>
          <w:lang w:eastAsia="ru-RU"/>
        </w:rPr>
        <w:t>нефинансовых активов (ф.0503168)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E92864" w:rsidRPr="00A94B54" w:rsidRDefault="00C70C1A" w:rsidP="00E928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7" w:history="1">
        <w:r w:rsidR="00E92864" w:rsidRPr="00A94B54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E92864" w:rsidRPr="00A94B54" w:rsidRDefault="00E9286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E92864" w:rsidRPr="00A94B54" w:rsidRDefault="00E9286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Сведения о принятых и неисполненных обязательствах получателя бюджетных средств (ф.0503175);    </w:t>
      </w:r>
    </w:p>
    <w:p w:rsidR="00051DB1" w:rsidRPr="00A94B54" w:rsidRDefault="007B300F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Сведения об использовании информационно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- коммуникационных технологий</w:t>
      </w:r>
      <w:r w:rsidR="002000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1548" w:rsidRPr="00A94B54">
        <w:rPr>
          <w:rFonts w:ascii="Times New Roman" w:hAnsi="Times New Roman"/>
          <w:sz w:val="26"/>
          <w:szCs w:val="26"/>
          <w:lang w:eastAsia="ru-RU"/>
        </w:rPr>
        <w:t>(ф.0503177)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="00E62CD8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3A4DD2" w:rsidRPr="00A94B54" w:rsidRDefault="006F0C6D" w:rsidP="00051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A83583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Отчет об использовании межбюджетных трансфертов из бюджета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субъекта РФ муниципальными образованиями и территориальными        государственными внебюджетным фондом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(ф.0503324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4DD2" w:rsidRPr="00A94B54">
        <w:rPr>
          <w:rFonts w:ascii="Times New Roman" w:hAnsi="Times New Roman"/>
          <w:sz w:val="26"/>
          <w:szCs w:val="26"/>
          <w:lang w:val="en-US" w:eastAsia="ru-RU"/>
        </w:rPr>
        <w:t>OBL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A83583" w:rsidRPr="00A94B54" w:rsidRDefault="003A4DD2" w:rsidP="00051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</w:t>
      </w:r>
      <w:r w:rsidR="00051DB1" w:rsidRPr="00A94B54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A83583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</w:p>
    <w:p w:rsidR="00CB3715" w:rsidRPr="00A94B54" w:rsidRDefault="007D7F4F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A94B54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A94B5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7A3B" w:rsidRPr="00A94B54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322AFF" w:rsidRPr="00A94B54">
        <w:rPr>
          <w:rFonts w:ascii="Times New Roman" w:hAnsi="Times New Roman"/>
          <w:sz w:val="26"/>
          <w:szCs w:val="26"/>
          <w:lang w:eastAsia="ru-RU"/>
        </w:rPr>
        <w:t xml:space="preserve"> год пр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едставлен 23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A94B54">
        <w:rPr>
          <w:rFonts w:ascii="Times New Roman" w:hAnsi="Times New Roman"/>
          <w:sz w:val="26"/>
          <w:szCs w:val="26"/>
          <w:lang w:eastAsia="ru-RU"/>
        </w:rPr>
        <w:t>3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8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Pr="00A94B54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154247" w:rsidRPr="00A94B54">
        <w:rPr>
          <w:rFonts w:ascii="Times New Roman" w:hAnsi="Times New Roman"/>
          <w:b/>
          <w:sz w:val="26"/>
          <w:szCs w:val="26"/>
          <w:lang w:eastAsia="ru-RU"/>
        </w:rPr>
        <w:t>Тигинское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A94B54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A94B54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A94B54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FF5D30" w:rsidRPr="00A94B54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F4452F" w:rsidRPr="00A94B54">
        <w:rPr>
          <w:rFonts w:ascii="Times New Roman" w:hAnsi="Times New Roman"/>
          <w:sz w:val="26"/>
          <w:szCs w:val="26"/>
          <w:lang w:eastAsia="ru-RU"/>
        </w:rPr>
        <w:t>ского поселения Тигинское</w:t>
      </w:r>
      <w:r w:rsidR="000F286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от 22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6</w:t>
      </w:r>
      <w:r w:rsidR="00FF5D30" w:rsidRPr="00A94B54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127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од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ржден по доходам в сумме 5391,3</w:t>
      </w:r>
      <w:r w:rsidR="00DD573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A94B54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дам 5408,9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тыс. руб. Т</w:t>
      </w:r>
      <w:r w:rsidR="008C157F" w:rsidRPr="00A94B54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A94B54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F004A5" w:rsidRPr="00A94B54" w:rsidRDefault="007D7F4F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4A7A3B" w:rsidRPr="00A94B54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635990" w:rsidRPr="00A94B54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A94B54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A94B54">
        <w:rPr>
          <w:rFonts w:ascii="Times New Roman" w:hAnsi="Times New Roman"/>
          <w:sz w:val="26"/>
          <w:szCs w:val="26"/>
          <w:lang w:eastAsia="ru-RU"/>
        </w:rPr>
        <w:t>решен</w:t>
      </w:r>
      <w:r w:rsidR="00E92864" w:rsidRPr="00A94B54">
        <w:rPr>
          <w:rFonts w:ascii="Times New Roman" w:hAnsi="Times New Roman"/>
          <w:sz w:val="26"/>
          <w:szCs w:val="26"/>
          <w:lang w:eastAsia="ru-RU"/>
        </w:rPr>
        <w:t>и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е</w:t>
      </w:r>
      <w:proofErr w:type="gramEnd"/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134 от 29</w:t>
      </w:r>
      <w:r w:rsidR="006369EE" w:rsidRPr="00A94B54">
        <w:rPr>
          <w:rFonts w:ascii="Times New Roman" w:hAnsi="Times New Roman"/>
          <w:sz w:val="26"/>
          <w:szCs w:val="26"/>
          <w:lang w:eastAsia="ru-RU"/>
        </w:rPr>
        <w:t>.0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3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7г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, 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38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 xml:space="preserve"> от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10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0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5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г, №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 142 от 19.06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6369EE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>, № 150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3A4DD2" w:rsidRPr="00A94B54">
        <w:rPr>
          <w:rFonts w:ascii="Times New Roman" w:hAnsi="Times New Roman"/>
          <w:sz w:val="26"/>
          <w:szCs w:val="26"/>
          <w:lang w:eastAsia="ru-RU"/>
        </w:rPr>
        <w:t xml:space="preserve">8.08.2017г, № 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1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1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0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.1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2.2017г</w:t>
      </w:r>
      <w:r w:rsidR="005474FF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DD5586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104010" w:rsidRPr="00A94B54" w:rsidRDefault="0010401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A94B54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C70C1A" w:rsidRPr="00A94B54" w:rsidRDefault="00C70C1A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A07F19" w:rsidRPr="00A94B54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 xml:space="preserve"> Тигинское</w:t>
      </w:r>
      <w:r w:rsidR="00620CF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97671D" w:rsidRPr="0097671D">
        <w:rPr>
          <w:rFonts w:ascii="Times New Roman" w:hAnsi="Times New Roman"/>
          <w:sz w:val="26"/>
          <w:szCs w:val="26"/>
          <w:lang w:eastAsia="ru-RU"/>
        </w:rPr>
        <w:t>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C70C1A" w:rsidRPr="00A94B54" w:rsidRDefault="00C70C1A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70C1A" w:rsidRPr="00A94B54" w:rsidRDefault="00C70C1A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223A4" w:rsidRPr="00A94B54" w:rsidRDefault="007D7F4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AB680D" w:rsidRPr="00A94B54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A94B54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A94B54">
        <w:rPr>
          <w:rFonts w:ascii="Times New Roman" w:hAnsi="Times New Roman"/>
          <w:sz w:val="26"/>
          <w:szCs w:val="26"/>
          <w:lang w:eastAsia="ru-RU"/>
        </w:rPr>
        <w:t>е отражены</w:t>
      </w:r>
      <w:r w:rsidR="00AB680D" w:rsidRPr="00A94B54">
        <w:rPr>
          <w:rFonts w:ascii="Times New Roman" w:hAnsi="Times New Roman"/>
          <w:sz w:val="26"/>
          <w:szCs w:val="26"/>
          <w:lang w:eastAsia="ru-RU"/>
        </w:rPr>
        <w:t xml:space="preserve"> направления деятельности поселения </w:t>
      </w:r>
      <w:r w:rsidR="008903FC" w:rsidRPr="00A94B54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A94B54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A94B54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кратк</w:t>
      </w:r>
      <w:r w:rsidR="00022C4E" w:rsidRPr="00A94B54">
        <w:rPr>
          <w:rFonts w:ascii="Times New Roman" w:hAnsi="Times New Roman"/>
          <w:sz w:val="26"/>
          <w:szCs w:val="26"/>
          <w:lang w:eastAsia="ru-RU"/>
        </w:rPr>
        <w:t>ая характеристика. На 01.01.201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="005A6865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83AD4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C7505D" w:rsidRPr="00A94B54">
        <w:rPr>
          <w:rFonts w:ascii="Times New Roman" w:hAnsi="Times New Roman"/>
          <w:sz w:val="26"/>
          <w:szCs w:val="26"/>
          <w:lang w:eastAsia="ru-RU"/>
        </w:rPr>
        <w:t xml:space="preserve">, что и подтверждается формой </w:t>
      </w:r>
      <w:r w:rsidR="00A47446" w:rsidRPr="00A94B54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подведомс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твенных учреждений» (ф.0503161), казенные, автономные и унитарн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ые предприятия отсу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т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ст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вуют.</w:t>
      </w:r>
    </w:p>
    <w:p w:rsidR="00383AEF" w:rsidRPr="00A94B54" w:rsidRDefault="00383AE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6865" w:rsidRPr="00A94B54" w:rsidRDefault="00A07F19" w:rsidP="005A6865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A94B54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</w:p>
    <w:p w:rsidR="003233BB" w:rsidRPr="00A94B54" w:rsidRDefault="005474FF" w:rsidP="00D263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76CB3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в целях оптимизации расходов поселения принят план мероприятий по оптимизации расходов бюджета сельского поселения 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Тигинское </w:t>
      </w:r>
      <w:r w:rsidR="00EA6BBC" w:rsidRPr="00A94B54">
        <w:rPr>
          <w:rFonts w:ascii="Times New Roman" w:hAnsi="Times New Roman"/>
          <w:sz w:val="26"/>
          <w:szCs w:val="26"/>
          <w:lang w:eastAsia="ru-RU"/>
        </w:rPr>
        <w:t>на 201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>год,</w:t>
      </w:r>
      <w:r w:rsidR="002F3FE1" w:rsidRPr="00A94B54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0E518D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2F3FE1" w:rsidRPr="00A94B54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11</w:t>
      </w:r>
      <w:r w:rsidR="00564136" w:rsidRPr="00A94B54">
        <w:rPr>
          <w:rFonts w:ascii="Times New Roman" w:hAnsi="Times New Roman"/>
          <w:sz w:val="26"/>
          <w:szCs w:val="26"/>
          <w:lang w:eastAsia="ru-RU"/>
        </w:rPr>
        <w:t>.01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>.201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383AEF" w:rsidRPr="00A94B54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ода № 2</w:t>
      </w:r>
      <w:r w:rsidR="008A470E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4010" w:rsidRPr="00A94B54">
        <w:rPr>
          <w:rFonts w:ascii="Times New Roman" w:hAnsi="Times New Roman"/>
          <w:sz w:val="26"/>
          <w:szCs w:val="26"/>
          <w:lang w:eastAsia="ru-RU"/>
        </w:rPr>
        <w:t>План мероприятий по оптимизации не выполнен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E6479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70C1A" w:rsidRPr="00A94B54" w:rsidRDefault="00A07F19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E0443C" w:rsidRPr="00A94B54" w:rsidRDefault="00C70C1A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lastRenderedPageBreak/>
        <w:t xml:space="preserve">  </w:t>
      </w:r>
      <w:r w:rsidR="007C2914" w:rsidRPr="00A94B54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A94B54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В таблице №3 «Сведения об исполнении текстовых статей закона (решения) о бюджете» указанные утвержденные показатели не соответствуют решению Совета сельского поселения Тигинское №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12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от 22.12.201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года, а именно следовало указ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>ать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:</w:t>
      </w:r>
    </w:p>
    <w:p w:rsidR="00094212" w:rsidRPr="00A94B54" w:rsidRDefault="00094212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Раздел 1 пункт 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1: утвержденные расходы – 6966,4 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094212" w:rsidRPr="00A94B54" w:rsidRDefault="00094212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Раздел 3 подпункт 4 пункта 8;</w:t>
      </w:r>
    </w:p>
    <w:p w:rsidR="00E0443C" w:rsidRPr="00A94B54" w:rsidRDefault="00094212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Раздел 4 пункт 12.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A6124" w:rsidRPr="00A94B54" w:rsidRDefault="008F66F3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Результат исполнения д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>оходной части бюджета поселения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со</w:t>
      </w:r>
      <w:r w:rsidR="002D28A2" w:rsidRPr="00A94B54">
        <w:rPr>
          <w:rFonts w:ascii="Times New Roman" w:hAnsi="Times New Roman"/>
          <w:sz w:val="26"/>
          <w:szCs w:val="26"/>
          <w:lang w:eastAsia="ru-RU"/>
        </w:rPr>
        <w:t>с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>тавляет 99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>,4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 xml:space="preserve"> (6834,2</w:t>
      </w:r>
      <w:r w:rsidR="00B44D30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A94B54">
        <w:rPr>
          <w:rFonts w:ascii="Times New Roman" w:hAnsi="Times New Roman"/>
          <w:sz w:val="26"/>
          <w:szCs w:val="26"/>
          <w:lang w:eastAsia="ru-RU"/>
        </w:rPr>
        <w:t>руб.)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A94B54">
        <w:rPr>
          <w:rFonts w:ascii="Times New Roman" w:hAnsi="Times New Roman"/>
          <w:sz w:val="26"/>
          <w:szCs w:val="26"/>
          <w:lang w:eastAsia="ru-RU"/>
        </w:rPr>
        <w:t>ра</w:t>
      </w:r>
      <w:r w:rsidR="00E0443C" w:rsidRPr="00A94B54">
        <w:rPr>
          <w:rFonts w:ascii="Times New Roman" w:hAnsi="Times New Roman"/>
          <w:sz w:val="26"/>
          <w:szCs w:val="26"/>
          <w:lang w:eastAsia="ru-RU"/>
        </w:rPr>
        <w:t xml:space="preserve">сходной части бюджета 98,6 </w:t>
      </w:r>
      <w:r w:rsidR="002D28A2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6867,5</w:t>
      </w:r>
      <w:r w:rsidR="00E138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F85697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Де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фицит </w:t>
      </w:r>
      <w:r w:rsidR="000D62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205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б</w:t>
      </w:r>
      <w:r w:rsidR="004534D1" w:rsidRPr="00A94B54">
        <w:rPr>
          <w:rFonts w:ascii="Times New Roman" w:hAnsi="Times New Roman"/>
          <w:sz w:val="26"/>
          <w:szCs w:val="26"/>
          <w:lang w:eastAsia="ru-RU"/>
        </w:rPr>
        <w:t>юджета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 xml:space="preserve"> исполнен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33,3</w:t>
      </w:r>
      <w:r w:rsidR="00B95E5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руб.  </w:t>
      </w:r>
      <w:r w:rsidR="00AD0ED6" w:rsidRPr="00A94B54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A94B54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A94B54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A94B54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межведомственной рабочей группы по платежам в местный бюджет и легализации объектов</w:t>
      </w:r>
      <w:r w:rsidR="00A56144" w:rsidRPr="00A94B54">
        <w:rPr>
          <w:rFonts w:ascii="Times New Roman" w:hAnsi="Times New Roman"/>
          <w:sz w:val="26"/>
          <w:szCs w:val="26"/>
          <w:lang w:eastAsia="ru-RU"/>
        </w:rPr>
        <w:t>. Так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12</w:t>
      </w:r>
      <w:r w:rsidR="0032162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A94B54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A94B54">
        <w:rPr>
          <w:rFonts w:ascii="Times New Roman" w:hAnsi="Times New Roman"/>
          <w:sz w:val="26"/>
          <w:szCs w:val="26"/>
          <w:lang w:eastAsia="ru-RU"/>
        </w:rPr>
        <w:t>аний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6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од – 1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CA79CC" w:rsidRPr="00A94B54">
        <w:rPr>
          <w:rFonts w:ascii="Times New Roman" w:hAnsi="Times New Roman"/>
          <w:sz w:val="26"/>
          <w:szCs w:val="26"/>
          <w:lang w:eastAsia="ru-RU"/>
        </w:rPr>
        <w:t>заседаний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) ра</w:t>
      </w:r>
      <w:r w:rsidR="00A2146E" w:rsidRPr="00A94B54">
        <w:rPr>
          <w:rFonts w:ascii="Times New Roman" w:hAnsi="Times New Roman"/>
          <w:sz w:val="26"/>
          <w:szCs w:val="26"/>
          <w:lang w:eastAsia="ru-RU"/>
        </w:rPr>
        <w:t>ссмотрено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72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A94B54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а</w:t>
      </w:r>
      <w:r w:rsidR="007B424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(201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6 – 5</w:t>
      </w:r>
      <w:r w:rsidR="00816049" w:rsidRPr="00A94B54">
        <w:rPr>
          <w:rFonts w:ascii="Times New Roman" w:hAnsi="Times New Roman"/>
          <w:sz w:val="26"/>
          <w:szCs w:val="26"/>
          <w:lang w:eastAsia="ru-RU"/>
        </w:rPr>
        <w:t>1 налогоплательщик</w:t>
      </w:r>
      <w:r w:rsidR="009851F0" w:rsidRPr="00A94B54">
        <w:rPr>
          <w:rFonts w:ascii="Times New Roman" w:hAnsi="Times New Roman"/>
          <w:sz w:val="26"/>
          <w:szCs w:val="26"/>
          <w:lang w:eastAsia="ru-RU"/>
        </w:rPr>
        <w:t>).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631C" w:rsidRPr="00A94B54" w:rsidRDefault="008701C2" w:rsidP="00E138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Так же на территории </w:t>
      </w:r>
      <w:r w:rsidR="0097671D">
        <w:rPr>
          <w:rFonts w:ascii="Times New Roman" w:hAnsi="Times New Roman"/>
          <w:sz w:val="26"/>
          <w:szCs w:val="26"/>
          <w:lang w:eastAsia="ru-RU"/>
        </w:rPr>
        <w:t xml:space="preserve">сельского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поселения</w:t>
      </w:r>
      <w:r w:rsidR="00315B0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>Тигинского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работал выездн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ой мобильный офис </w:t>
      </w:r>
      <w:proofErr w:type="gramStart"/>
      <w:r w:rsidRPr="00A94B54">
        <w:rPr>
          <w:rFonts w:ascii="Times New Roman" w:hAnsi="Times New Roman"/>
          <w:sz w:val="26"/>
          <w:szCs w:val="26"/>
          <w:lang w:eastAsia="ru-RU"/>
        </w:rPr>
        <w:t>МРИ  ИФНС</w:t>
      </w:r>
      <w:proofErr w:type="gramEnd"/>
      <w:r w:rsidRPr="00A94B54">
        <w:rPr>
          <w:rFonts w:ascii="Times New Roman" w:hAnsi="Times New Roman"/>
          <w:sz w:val="26"/>
          <w:szCs w:val="26"/>
          <w:lang w:eastAsia="ru-RU"/>
        </w:rPr>
        <w:t xml:space="preserve"> №7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, в результате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 эко</w:t>
      </w:r>
      <w:r w:rsidR="00E61DC5" w:rsidRPr="00A94B54">
        <w:rPr>
          <w:rFonts w:ascii="Times New Roman" w:hAnsi="Times New Roman"/>
          <w:sz w:val="26"/>
          <w:szCs w:val="26"/>
          <w:lang w:eastAsia="ru-RU"/>
        </w:rPr>
        <w:t>н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омический эффект составил 141,8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70C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D2631C" w:rsidRPr="00A94B54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A84711" w:rsidRPr="00A94B54" w:rsidRDefault="00C70C1A" w:rsidP="00D263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  </w:t>
      </w:r>
      <w:r w:rsidR="00A2146E"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A94B54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A94B54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бюджетных назначений к утвержденных.</w:t>
      </w:r>
    </w:p>
    <w:p w:rsidR="00C07322" w:rsidRPr="00A94B54" w:rsidRDefault="00A84711" w:rsidP="005716E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A94B54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="00DD108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принят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>а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и де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й</w:t>
      </w:r>
      <w:r w:rsidRPr="00A94B54">
        <w:rPr>
          <w:rFonts w:ascii="Times New Roman" w:hAnsi="Times New Roman"/>
          <w:sz w:val="26"/>
          <w:szCs w:val="26"/>
          <w:lang w:eastAsia="ru-RU"/>
        </w:rPr>
        <w:t>ствовал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>а</w:t>
      </w:r>
      <w:r w:rsidR="00022C4E" w:rsidRPr="00A94B54">
        <w:rPr>
          <w:rFonts w:ascii="Times New Roman" w:hAnsi="Times New Roman"/>
          <w:sz w:val="26"/>
          <w:szCs w:val="26"/>
          <w:lang w:eastAsia="ru-RU"/>
        </w:rPr>
        <w:t xml:space="preserve"> в течении 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года м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униципальная программа «Развит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ие физической культуры и спорта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, укрепление здоровья населения сельского поселения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 xml:space="preserve"> Тигинское на 2017 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>201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9</w:t>
      </w:r>
      <w:r w:rsidR="006B27EA" w:rsidRPr="00A94B54">
        <w:rPr>
          <w:rFonts w:ascii="Times New Roman" w:hAnsi="Times New Roman"/>
          <w:sz w:val="26"/>
          <w:szCs w:val="26"/>
          <w:lang w:eastAsia="ru-RU"/>
        </w:rPr>
        <w:t xml:space="preserve"> го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ды»</w:t>
      </w:r>
      <w:r w:rsidR="008701C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-1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3,4</w:t>
      </w:r>
      <w:r w:rsidR="0033294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404C91" w:rsidRPr="00A94B54">
        <w:rPr>
          <w:rFonts w:ascii="Times New Roman" w:hAnsi="Times New Roman"/>
          <w:sz w:val="26"/>
          <w:szCs w:val="26"/>
          <w:lang w:eastAsia="ru-RU"/>
        </w:rPr>
        <w:t xml:space="preserve"> (исполнение составляет-100</w:t>
      </w:r>
      <w:r w:rsidR="00C07322" w:rsidRPr="00A94B54">
        <w:rPr>
          <w:rFonts w:ascii="Times New Roman" w:hAnsi="Times New Roman"/>
          <w:sz w:val="26"/>
          <w:szCs w:val="26"/>
          <w:lang w:eastAsia="ru-RU"/>
        </w:rPr>
        <w:t xml:space="preserve">%).  </w:t>
      </w:r>
      <w:r w:rsidR="00FA6124" w:rsidRPr="00A94B54">
        <w:rPr>
          <w:rFonts w:ascii="Times New Roman" w:hAnsi="Times New Roman"/>
          <w:sz w:val="26"/>
          <w:szCs w:val="26"/>
          <w:lang w:eastAsia="ru-RU"/>
        </w:rPr>
        <w:t>Цели использования данных бюджетных ассигнований: проверка расчетно-сметной документации по строительству детской игровой площадки,</w:t>
      </w:r>
      <w:r w:rsidR="00857015" w:rsidRPr="00A94B54">
        <w:rPr>
          <w:rFonts w:ascii="Times New Roman" w:hAnsi="Times New Roman"/>
          <w:sz w:val="26"/>
          <w:szCs w:val="26"/>
          <w:lang w:eastAsia="ru-RU"/>
        </w:rPr>
        <w:t xml:space="preserve"> проведение спортивного мероприятия.</w:t>
      </w:r>
    </w:p>
    <w:p w:rsidR="008701C2" w:rsidRPr="00A94B54" w:rsidRDefault="008701C2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A94B54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716E3" w:rsidRPr="00A94B54" w:rsidRDefault="005716E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A94B54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</w:t>
      </w:r>
      <w:r w:rsidR="00DF190D" w:rsidRPr="00A94B54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A94B54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A94B54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A94B54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A94B54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A94B54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F65496" w:rsidRPr="00A94B54">
        <w:rPr>
          <w:rFonts w:ascii="Times New Roman" w:hAnsi="Times New Roman"/>
          <w:sz w:val="26"/>
          <w:szCs w:val="26"/>
          <w:lang w:eastAsia="ru-RU"/>
        </w:rPr>
        <w:t>, «Сведения об изменении остатков валюты баланса» (ф.0503173),</w:t>
      </w:r>
      <w:r w:rsidR="00F903E0" w:rsidRPr="00A94B54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(ф.0503175).</w:t>
      </w:r>
    </w:p>
    <w:p w:rsidR="00857015" w:rsidRPr="00A94B54" w:rsidRDefault="00857015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04A12" w:rsidRPr="00A94B54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A94B5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79199D" w:rsidRPr="00A94B54">
        <w:rPr>
          <w:rFonts w:ascii="Times New Roman" w:hAnsi="Times New Roman"/>
          <w:sz w:val="26"/>
          <w:szCs w:val="26"/>
          <w:lang w:eastAsia="ru-RU"/>
        </w:rPr>
        <w:t>Дебиторская</w:t>
      </w:r>
      <w:r w:rsidR="005E0AA7" w:rsidRPr="00A94B54">
        <w:rPr>
          <w:rFonts w:ascii="Times New Roman" w:hAnsi="Times New Roman"/>
          <w:sz w:val="26"/>
          <w:szCs w:val="26"/>
          <w:lang w:eastAsia="ru-RU"/>
        </w:rPr>
        <w:t xml:space="preserve"> задолженность на </w:t>
      </w:r>
      <w:r w:rsidRPr="00A94B54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1801BE" w:rsidRPr="00A94B54">
        <w:rPr>
          <w:rFonts w:ascii="Times New Roman" w:hAnsi="Times New Roman"/>
          <w:sz w:val="26"/>
          <w:szCs w:val="26"/>
          <w:lang w:eastAsia="ru-RU"/>
        </w:rPr>
        <w:t>ьности составляет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094212" w:rsidRPr="00A94B54">
        <w:rPr>
          <w:rFonts w:ascii="Times New Roman" w:hAnsi="Times New Roman"/>
          <w:sz w:val="26"/>
          <w:szCs w:val="26"/>
          <w:lang w:eastAsia="ru-RU"/>
        </w:rPr>
        <w:t>243105,07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4CC4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514CC4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в результате авансовых платежей по договорам </w:t>
      </w:r>
      <w:r w:rsidR="00156053" w:rsidRPr="00A94B54">
        <w:rPr>
          <w:rFonts w:ascii="Times New Roman" w:hAnsi="Times New Roman"/>
          <w:sz w:val="26"/>
          <w:szCs w:val="26"/>
          <w:lang w:eastAsia="ru-RU"/>
        </w:rPr>
        <w:t>(ООО «</w:t>
      </w:r>
      <w:proofErr w:type="spellStart"/>
      <w:r w:rsidR="00156053" w:rsidRPr="00A94B54">
        <w:rPr>
          <w:rFonts w:ascii="Times New Roman" w:hAnsi="Times New Roman"/>
          <w:sz w:val="26"/>
          <w:szCs w:val="26"/>
          <w:lang w:eastAsia="ru-RU"/>
        </w:rPr>
        <w:t>Логасофт</w:t>
      </w:r>
      <w:proofErr w:type="spellEnd"/>
      <w:r w:rsidR="00156053" w:rsidRPr="00A94B54">
        <w:rPr>
          <w:rFonts w:ascii="Times New Roman" w:hAnsi="Times New Roman"/>
          <w:sz w:val="26"/>
          <w:szCs w:val="26"/>
          <w:lang w:eastAsia="ru-RU"/>
        </w:rPr>
        <w:t>»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- 11880,00 рублей</w:t>
      </w:r>
      <w:r w:rsidR="00156053" w:rsidRPr="00A94B54">
        <w:rPr>
          <w:rFonts w:ascii="Times New Roman" w:hAnsi="Times New Roman"/>
          <w:sz w:val="26"/>
          <w:szCs w:val="26"/>
          <w:lang w:eastAsia="ru-RU"/>
        </w:rPr>
        <w:t xml:space="preserve">) и остатка неизрасходованных </w:t>
      </w:r>
      <w:r w:rsidR="0057038F" w:rsidRPr="00A94B54">
        <w:rPr>
          <w:rFonts w:ascii="Times New Roman" w:hAnsi="Times New Roman"/>
          <w:sz w:val="26"/>
          <w:szCs w:val="26"/>
          <w:lang w:eastAsia="ru-RU"/>
        </w:rPr>
        <w:t>средств по переданным полномочиям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По расчетам с 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плательщиками налоговых доходов задолженность составляет – 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224162,27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ру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блей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>, в то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м числе просроченная – 224162,27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CF4D49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52756C" w:rsidRPr="00A94B54" w:rsidRDefault="0079199D" w:rsidP="00527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Кредиторская </w:t>
      </w:r>
      <w:r w:rsidR="00531991" w:rsidRPr="00A94B54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еятельности составляет – 139022,31</w:t>
      </w:r>
      <w:r w:rsidR="001B519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213F68" w:rsidRPr="00A94B54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57C51" w:rsidRPr="00A94B54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4094" w:rsidRPr="00A94B54">
        <w:rPr>
          <w:rFonts w:ascii="Times New Roman" w:hAnsi="Times New Roman"/>
          <w:sz w:val="26"/>
          <w:szCs w:val="26"/>
          <w:lang w:eastAsia="ru-RU"/>
        </w:rPr>
        <w:t>задолже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нность уменьшилась на 13412,76</w:t>
      </w:r>
      <w:r w:rsidR="00156053" w:rsidRPr="00A94B54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CE006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Основные кредиторы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: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ПАО «Ростелеком» - 5184,39 рублей,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ОАО «Вологодская сбытовая компания»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1223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95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 xml:space="preserve"> руб.,</w:t>
      </w:r>
      <w:r w:rsidR="003F65E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БУЗ ВО «Вожегодская ЦРБ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» - 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722,00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4EA2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3F65E0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авансовые платежи по налогам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–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2051,66 рублей,</w:t>
      </w:r>
      <w:r w:rsidR="003F65E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филиал ПАО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«МРСК Северо-Запада» - 4479,75</w:t>
      </w:r>
      <w:r w:rsidR="00FF68B8" w:rsidRPr="00A94B54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847F16" w:rsidRPr="00A94B54">
        <w:rPr>
          <w:rFonts w:ascii="Times New Roman" w:hAnsi="Times New Roman"/>
          <w:sz w:val="26"/>
          <w:szCs w:val="26"/>
          <w:lang w:eastAsia="ru-RU"/>
        </w:rPr>
        <w:t xml:space="preserve"> имущественные налоги –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37864,36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лей, доплаты к пенсии – 87496,20 рублей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52756C" w:rsidRPr="00A94B54" w:rsidRDefault="0052756C" w:rsidP="00527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5716E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 xml:space="preserve">Просроченная кредиторская задолженность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составляет – 37768,29 рублей</w:t>
      </w:r>
      <w:r w:rsidR="000A6E5B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0A6E5B" w:rsidRPr="00A94B54" w:rsidRDefault="0052756C" w:rsidP="0023541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>Общая сумма принятых и неисполненных обязательств на 01.01.201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 xml:space="preserve">8 года 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>составляет</w:t>
      </w:r>
      <w:r w:rsidR="0097671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113056,90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F60E14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="0023541E" w:rsidRPr="00A94B54">
        <w:rPr>
          <w:rFonts w:ascii="Times New Roman" w:hAnsi="Times New Roman"/>
          <w:sz w:val="26"/>
          <w:szCs w:val="26"/>
          <w:lang w:eastAsia="ru-RU"/>
        </w:rPr>
        <w:t>. (ф.0503175).</w:t>
      </w:r>
    </w:p>
    <w:p w:rsidR="00904A12" w:rsidRPr="00A94B54" w:rsidRDefault="005716E3" w:rsidP="00CF1E1A">
      <w:pPr>
        <w:pStyle w:val="ConsPlusNormal"/>
        <w:ind w:firstLine="540"/>
        <w:jc w:val="both"/>
        <w:rPr>
          <w:sz w:val="26"/>
          <w:szCs w:val="26"/>
        </w:rPr>
      </w:pPr>
      <w:r w:rsidRPr="00A94B54">
        <w:rPr>
          <w:sz w:val="26"/>
          <w:szCs w:val="26"/>
        </w:rPr>
        <w:t xml:space="preserve">     </w:t>
      </w:r>
    </w:p>
    <w:p w:rsidR="00A07F19" w:rsidRPr="00A94B54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A94B54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5716E3" w:rsidRPr="00A94B54" w:rsidRDefault="005716E3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A94B54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857015" w:rsidRPr="00A94B54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A94B54" w:rsidRDefault="00857015" w:rsidP="0085701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Главный распорядитель 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>и получатель бюджетных средств организует и в</w:t>
      </w:r>
      <w:r w:rsidRPr="00A94B54">
        <w:rPr>
          <w:rFonts w:ascii="Times New Roman" w:hAnsi="Times New Roman"/>
          <w:sz w:val="26"/>
          <w:szCs w:val="26"/>
          <w:lang w:eastAsia="ru-RU"/>
        </w:rPr>
        <w:t>еде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 xml:space="preserve">т бюджетный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учет в соответствии с Инструкцией по бюджетному учету №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162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>-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н (с последующими изменениями) от 06.12.2010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г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>ода</w:t>
      </w:r>
      <w:r w:rsidR="00C44538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461A91" w:rsidRPr="00A94B54">
        <w:rPr>
          <w:rFonts w:ascii="Times New Roman" w:hAnsi="Times New Roman"/>
          <w:sz w:val="26"/>
          <w:szCs w:val="26"/>
          <w:lang w:eastAsia="ru-RU"/>
        </w:rPr>
        <w:t xml:space="preserve"> Самостоятельно для отражения хозяйственных операций, дополнительных бухгалтерских записей не установлено.</w:t>
      </w:r>
    </w:p>
    <w:p w:rsidR="005716E3" w:rsidRPr="00A94B54" w:rsidRDefault="005716E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2695" w:rsidRPr="00A94B54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A94B54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A94B54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отраженной  в данных подразделах пояснительной записки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073B6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A94B54">
        <w:rPr>
          <w:rFonts w:ascii="Times New Roman" w:hAnsi="Times New Roman"/>
          <w:sz w:val="26"/>
          <w:szCs w:val="26"/>
          <w:lang w:eastAsia="ru-RU"/>
        </w:rPr>
        <w:t xml:space="preserve">чаемых договоров объемам и лимитам бюджетных ассигнований .Также 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ми 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поселения, анализ дебиторско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A94B54">
        <w:rPr>
          <w:rFonts w:ascii="Times New Roman" w:hAnsi="Times New Roman"/>
          <w:sz w:val="26"/>
          <w:szCs w:val="26"/>
          <w:lang w:eastAsia="ru-RU"/>
        </w:rPr>
        <w:t>, денежных средс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тв. </w:t>
      </w:r>
    </w:p>
    <w:p w:rsidR="00A07F19" w:rsidRPr="00A94B54" w:rsidRDefault="003F65E0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таб</w:t>
      </w:r>
      <w:r w:rsidR="0052756C" w:rsidRPr="00A94B54">
        <w:rPr>
          <w:rFonts w:ascii="Times New Roman" w:hAnsi="Times New Roman"/>
          <w:sz w:val="26"/>
          <w:szCs w:val="26"/>
          <w:lang w:eastAsia="ru-RU"/>
        </w:rPr>
        <w:t xml:space="preserve">лице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>№</w:t>
      </w:r>
      <w:r w:rsidR="00CF1E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="00A94B54" w:rsidRPr="00A94B54">
        <w:rPr>
          <w:rFonts w:ascii="Times New Roman" w:hAnsi="Times New Roman"/>
          <w:sz w:val="26"/>
          <w:szCs w:val="26"/>
          <w:lang w:eastAsia="ru-RU"/>
        </w:rPr>
        <w:t>представлены Сведения о</w:t>
      </w:r>
      <w:r w:rsidR="00F6269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59B4" w:rsidRPr="00A94B54">
        <w:rPr>
          <w:rFonts w:ascii="Times New Roman" w:hAnsi="Times New Roman"/>
          <w:sz w:val="26"/>
          <w:szCs w:val="26"/>
          <w:lang w:eastAsia="ru-RU"/>
        </w:rPr>
        <w:t>результат</w:t>
      </w:r>
      <w:r w:rsidR="00A94B54" w:rsidRPr="00A94B54">
        <w:rPr>
          <w:rFonts w:ascii="Times New Roman" w:hAnsi="Times New Roman"/>
          <w:sz w:val="26"/>
          <w:szCs w:val="26"/>
          <w:lang w:eastAsia="ru-RU"/>
        </w:rPr>
        <w:t>ах внешнего государственного (муниципального) финансового контроля, отражены результаты проверки и</w:t>
      </w:r>
      <w:r w:rsidR="009759B4" w:rsidRPr="00A94B54">
        <w:rPr>
          <w:rFonts w:ascii="Times New Roman" w:hAnsi="Times New Roman"/>
          <w:sz w:val="26"/>
          <w:szCs w:val="26"/>
          <w:lang w:eastAsia="ru-RU"/>
        </w:rPr>
        <w:t xml:space="preserve"> меры принятые по ее результатам.</w:t>
      </w:r>
    </w:p>
    <w:p w:rsidR="006D6958" w:rsidRPr="00A94B54" w:rsidRDefault="006D6958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753F" w:rsidRPr="00A94B54" w:rsidRDefault="0018753F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  <w:kern w:val="1"/>
          <w:sz w:val="26"/>
          <w:szCs w:val="26"/>
        </w:rPr>
      </w:pPr>
      <w:r w:rsidRPr="00A94B54">
        <w:rPr>
          <w:rFonts w:ascii="Times New Roman" w:hAnsi="Times New Roman"/>
          <w:b/>
          <w:kern w:val="1"/>
          <w:sz w:val="26"/>
          <w:szCs w:val="26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A94B54" w:rsidRPr="00A94B54" w:rsidRDefault="005716E3" w:rsidP="00A94B54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   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>Администрация</w:t>
      </w:r>
      <w:r w:rsidR="003E36CF" w:rsidRPr="00A94B54">
        <w:rPr>
          <w:rFonts w:ascii="Times New Roman" w:hAnsi="Times New Roman"/>
          <w:kern w:val="1"/>
          <w:sz w:val="26"/>
          <w:szCs w:val="26"/>
        </w:rPr>
        <w:t xml:space="preserve"> сельского поселения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 xml:space="preserve"> Тигинское проект решения</w:t>
      </w:r>
      <w:r w:rsidR="003E36CF" w:rsidRPr="00A94B54">
        <w:rPr>
          <w:rFonts w:ascii="Times New Roman" w:hAnsi="Times New Roman"/>
          <w:kern w:val="1"/>
          <w:sz w:val="26"/>
          <w:szCs w:val="26"/>
        </w:rPr>
        <w:t xml:space="preserve"> «Об утверждении отчета об исполнении </w:t>
      </w:r>
      <w:r w:rsidR="00EE24FF" w:rsidRPr="00A94B54">
        <w:rPr>
          <w:rFonts w:ascii="Times New Roman" w:hAnsi="Times New Roman"/>
          <w:kern w:val="1"/>
          <w:sz w:val="26"/>
          <w:szCs w:val="26"/>
        </w:rPr>
        <w:t>бюджета с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>ельского поселения Тигинское за 201</w:t>
      </w:r>
      <w:r w:rsidR="004C4F60" w:rsidRPr="00A94B54">
        <w:rPr>
          <w:rFonts w:ascii="Times New Roman" w:hAnsi="Times New Roman"/>
          <w:kern w:val="1"/>
          <w:sz w:val="26"/>
          <w:szCs w:val="26"/>
        </w:rPr>
        <w:t>7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 xml:space="preserve"> год» составили в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>нарушени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>и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 xml:space="preserve"> стать</w:t>
      </w:r>
      <w:r w:rsidR="0057038F" w:rsidRPr="00A94B54">
        <w:rPr>
          <w:rFonts w:ascii="Times New Roman" w:hAnsi="Times New Roman"/>
          <w:kern w:val="1"/>
          <w:sz w:val="26"/>
          <w:szCs w:val="26"/>
        </w:rPr>
        <w:t>и 264.6 БК Российск</w:t>
      </w:r>
      <w:r w:rsidR="00A94B54" w:rsidRPr="00A94B54">
        <w:rPr>
          <w:rFonts w:ascii="Times New Roman" w:hAnsi="Times New Roman"/>
          <w:kern w:val="1"/>
          <w:sz w:val="26"/>
          <w:szCs w:val="26"/>
        </w:rPr>
        <w:t>ой Федерации.</w:t>
      </w:r>
    </w:p>
    <w:p w:rsidR="005716E3" w:rsidRPr="00A94B54" w:rsidRDefault="00A94B54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>Проектом предусмотрено</w:t>
      </w:r>
      <w:r w:rsidR="0006768A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утверждение показателей несоответствующих ст. 264.6.</w:t>
      </w:r>
      <w:r w:rsidR="0097671D">
        <w:rPr>
          <w:rFonts w:ascii="Times New Roman" w:hAnsi="Times New Roman"/>
          <w:kern w:val="1"/>
          <w:sz w:val="26"/>
          <w:szCs w:val="26"/>
        </w:rPr>
        <w:t xml:space="preserve"> БК РФ.</w:t>
      </w:r>
    </w:p>
    <w:p w:rsidR="00D95A1B" w:rsidRPr="00A94B54" w:rsidRDefault="00CE602E" w:rsidP="00A94B54">
      <w:pPr>
        <w:autoSpaceDE w:val="0"/>
        <w:autoSpaceDN w:val="0"/>
        <w:adjustRightInd w:val="0"/>
        <w:spacing w:after="0" w:line="240" w:lineRule="auto"/>
        <w:ind w:firstLine="142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716E3" w:rsidRPr="00A94B54">
        <w:rPr>
          <w:rFonts w:ascii="Times New Roman" w:hAnsi="Times New Roman"/>
          <w:kern w:val="1"/>
          <w:sz w:val="26"/>
          <w:szCs w:val="26"/>
        </w:rPr>
        <w:t xml:space="preserve">   </w:t>
      </w:r>
      <w:r w:rsidR="00D95A1B" w:rsidRPr="00A94B54">
        <w:rPr>
          <w:rFonts w:ascii="Times New Roman" w:hAnsi="Times New Roman"/>
          <w:kern w:val="1"/>
          <w:sz w:val="26"/>
          <w:szCs w:val="26"/>
        </w:rPr>
        <w:t xml:space="preserve"> Следовательно проект решения Совета сельского поселения Тигинское необходимо привести в соответствие с требованиями Бюджетного Кодекса РФ.</w:t>
      </w:r>
    </w:p>
    <w:p w:rsidR="005716E3" w:rsidRPr="00A94B54" w:rsidRDefault="005716E3" w:rsidP="00A358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kern w:val="1"/>
          <w:sz w:val="26"/>
          <w:szCs w:val="26"/>
        </w:rPr>
      </w:pPr>
    </w:p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A94B54">
        <w:rPr>
          <w:rFonts w:ascii="Times New Roman" w:hAnsi="Times New Roman"/>
          <w:b/>
          <w:sz w:val="26"/>
          <w:szCs w:val="26"/>
          <w:lang w:eastAsia="ru-RU"/>
        </w:rPr>
        <w:t>се</w:t>
      </w:r>
      <w:r w:rsidR="00D95A1B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льского поселения Тигинское </w:t>
      </w:r>
      <w:r w:rsidR="007E6692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на 201</w:t>
      </w:r>
      <w:r w:rsidR="004C4F60" w:rsidRPr="00A94B54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5716E3" w:rsidRPr="00A94B54" w:rsidRDefault="005716E3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A94B54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A94B5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A94B54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A94B54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57038F" w:rsidRPr="00A94B54">
        <w:rPr>
          <w:rFonts w:ascii="Times New Roman" w:hAnsi="Times New Roman"/>
          <w:sz w:val="26"/>
          <w:szCs w:val="26"/>
          <w:lang w:eastAsia="ru-RU"/>
        </w:rPr>
        <w:t>ьского поселения Тигинское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 xml:space="preserve"> от 22</w:t>
      </w:r>
      <w:r w:rsidR="00B57CE7" w:rsidRPr="00A94B54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6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127</w:t>
      </w:r>
      <w:r w:rsidR="00541337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A94B54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A94B54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4C4F60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A94B54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Рубли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A94B54" w:rsidTr="00213415">
        <w:tc>
          <w:tcPr>
            <w:tcW w:w="2581" w:type="dxa"/>
          </w:tcPr>
          <w:p w:rsidR="00155A66" w:rsidRPr="00A94B54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A94B54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A94B54" w:rsidRDefault="00155A66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A94B54" w:rsidTr="00213415">
        <w:trPr>
          <w:trHeight w:val="275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A94B54" w:rsidRDefault="00632EB2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val="en-US" w:eastAsia="ru-RU"/>
              </w:rPr>
              <w:t>6877</w:t>
            </w: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A94B54">
              <w:rPr>
                <w:rFonts w:ascii="Times New Roman" w:hAnsi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2531" w:type="dxa"/>
          </w:tcPr>
          <w:p w:rsidR="00155A66" w:rsidRPr="00A94B54" w:rsidRDefault="00632EB2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6834,2</w:t>
            </w:r>
          </w:p>
        </w:tc>
        <w:tc>
          <w:tcPr>
            <w:tcW w:w="1976" w:type="dxa"/>
            <w:gridSpan w:val="2"/>
          </w:tcPr>
          <w:p w:rsidR="00155A66" w:rsidRPr="00A94B54" w:rsidRDefault="00632EB2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99,4</w:t>
            </w:r>
          </w:p>
        </w:tc>
      </w:tr>
      <w:tr w:rsidR="00155A66" w:rsidRPr="00A94B54" w:rsidTr="00213415">
        <w:trPr>
          <w:trHeight w:val="215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A94B54" w:rsidRDefault="00632EB2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6966,4</w:t>
            </w:r>
          </w:p>
        </w:tc>
        <w:tc>
          <w:tcPr>
            <w:tcW w:w="2551" w:type="dxa"/>
            <w:gridSpan w:val="2"/>
          </w:tcPr>
          <w:p w:rsidR="00155A66" w:rsidRPr="00A94B54" w:rsidRDefault="00632EB2" w:rsidP="00DD5E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6867,5</w:t>
            </w:r>
          </w:p>
        </w:tc>
        <w:tc>
          <w:tcPr>
            <w:tcW w:w="1956" w:type="dxa"/>
          </w:tcPr>
          <w:p w:rsidR="00155A66" w:rsidRPr="00A94B54" w:rsidRDefault="00632EB2" w:rsidP="00DD5E5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98,6</w:t>
            </w:r>
          </w:p>
        </w:tc>
      </w:tr>
      <w:tr w:rsidR="00155A66" w:rsidRPr="00A94B54" w:rsidTr="00213415">
        <w:trPr>
          <w:trHeight w:val="132"/>
        </w:trPr>
        <w:tc>
          <w:tcPr>
            <w:tcW w:w="2581" w:type="dxa"/>
          </w:tcPr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A94B54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A94B54" w:rsidRDefault="00974A53" w:rsidP="00632EB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632EB2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88,7</w:t>
            </w:r>
          </w:p>
        </w:tc>
        <w:tc>
          <w:tcPr>
            <w:tcW w:w="2551" w:type="dxa"/>
            <w:gridSpan w:val="2"/>
          </w:tcPr>
          <w:p w:rsidR="00155A66" w:rsidRPr="00A94B54" w:rsidRDefault="00545DAF" w:rsidP="004C4F6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32EB2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33,3</w:t>
            </w:r>
          </w:p>
          <w:p w:rsidR="00155A66" w:rsidRPr="00A94B54" w:rsidRDefault="00155A66" w:rsidP="00DD5E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</w:tcPr>
          <w:p w:rsidR="00155A66" w:rsidRPr="00A94B54" w:rsidRDefault="00155A66" w:rsidP="004C4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>рас</w:t>
      </w:r>
      <w:r w:rsidR="00545DAF" w:rsidRPr="00A94B54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745A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 xml:space="preserve">  над до</w:t>
      </w:r>
      <w:r w:rsidR="00545DAF" w:rsidRPr="00A94B54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="00C71C6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545DA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1C6E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745A1"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632EB2" w:rsidRPr="00A94B54">
        <w:rPr>
          <w:rFonts w:ascii="Times New Roman" w:hAnsi="Times New Roman"/>
          <w:sz w:val="26"/>
          <w:szCs w:val="26"/>
          <w:u w:val="single"/>
          <w:lang w:eastAsia="ru-RU"/>
        </w:rPr>
        <w:t>33</w:t>
      </w:r>
      <w:r w:rsidR="00DD5E58" w:rsidRPr="00A94B54">
        <w:rPr>
          <w:rFonts w:ascii="Times New Roman" w:hAnsi="Times New Roman"/>
          <w:sz w:val="26"/>
          <w:szCs w:val="26"/>
          <w:u w:val="single"/>
          <w:lang w:eastAsia="ru-RU"/>
        </w:rPr>
        <w:t xml:space="preserve">,3 </w:t>
      </w:r>
      <w:r w:rsidRPr="00A94B54">
        <w:rPr>
          <w:rFonts w:ascii="Times New Roman" w:hAnsi="Times New Roman"/>
          <w:sz w:val="26"/>
          <w:szCs w:val="26"/>
          <w:u w:val="single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="00DD5E58" w:rsidRPr="00A94B54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99,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4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C50225" w:rsidRPr="00A94B54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показателей, расходы на 98,6</w:t>
      </w:r>
      <w:r w:rsidR="00545DA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%.</w:t>
      </w:r>
    </w:p>
    <w:p w:rsidR="00155A66" w:rsidRPr="00A94B54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632EB2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5391,3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A94B54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A94B54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налоговые и неналоговые доходы 35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2</w:t>
      </w:r>
      <w:r w:rsidR="00B57CE7" w:rsidRPr="00A94B54">
        <w:rPr>
          <w:rFonts w:ascii="Times New Roman" w:hAnsi="Times New Roman"/>
          <w:sz w:val="26"/>
          <w:szCs w:val="26"/>
          <w:lang w:eastAsia="ru-RU"/>
        </w:rPr>
        <w:t>,0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(6,5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A94B54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5039,3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93</w:t>
      </w:r>
      <w:r w:rsidR="006027AF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 xml:space="preserve">5 </w:t>
      </w:r>
      <w:r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D22DE2" w:rsidRPr="00A94B54">
        <w:rPr>
          <w:rFonts w:ascii="Times New Roman" w:hAnsi="Times New Roman"/>
          <w:b/>
          <w:sz w:val="26"/>
          <w:szCs w:val="26"/>
          <w:lang w:eastAsia="ru-RU"/>
        </w:rPr>
        <w:t>5408,9</w:t>
      </w:r>
      <w:r w:rsidR="00B57CE7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A94B54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2692,2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 xml:space="preserve">ублей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(49,</w:t>
      </w:r>
      <w:r w:rsidR="00441AD5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 в структуре расходов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2D0CE6" w:rsidRPr="00A94B54">
        <w:rPr>
          <w:rFonts w:ascii="Times New Roman" w:hAnsi="Times New Roman"/>
          <w:sz w:val="26"/>
          <w:szCs w:val="26"/>
          <w:lang w:eastAsia="ru-RU"/>
        </w:rPr>
        <w:t xml:space="preserve"> Национальная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оборона – 79,9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(1,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5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60,0</w:t>
      </w:r>
      <w:r w:rsidR="0030736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>тыс. рубл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ей (1,1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501,8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9,3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A94B54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хозяйство – 397,5</w:t>
      </w:r>
      <w:r w:rsidR="002D0CE6"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="00441AD5" w:rsidRPr="00A94B54">
        <w:rPr>
          <w:rFonts w:ascii="Times New Roman" w:hAnsi="Times New Roman"/>
          <w:sz w:val="26"/>
          <w:szCs w:val="26"/>
          <w:lang w:eastAsia="ru-RU"/>
        </w:rPr>
        <w:t>,3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Pr="00A94B54">
        <w:rPr>
          <w:rFonts w:ascii="Times New Roman" w:hAnsi="Times New Roman"/>
          <w:sz w:val="26"/>
          <w:szCs w:val="26"/>
          <w:lang w:eastAsia="ru-RU"/>
        </w:rPr>
        <w:t>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6628B5" w:rsidRPr="00A94B54" w:rsidRDefault="006628B5" w:rsidP="006628B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06 Охрана окружающей среды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4</w:t>
      </w:r>
      <w:r w:rsidRPr="00A94B54">
        <w:rPr>
          <w:rFonts w:ascii="Times New Roman" w:hAnsi="Times New Roman"/>
          <w:sz w:val="26"/>
          <w:szCs w:val="26"/>
          <w:lang w:eastAsia="ru-RU"/>
        </w:rPr>
        <w:t>1,5 тыс. рублей (0,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8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5,0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A94B54">
        <w:rPr>
          <w:rFonts w:ascii="Times New Roman" w:hAnsi="Times New Roman"/>
          <w:sz w:val="26"/>
          <w:szCs w:val="26"/>
          <w:lang w:eastAsia="ru-RU"/>
        </w:rPr>
        <w:t>0,1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42385" w:rsidRPr="00A94B54">
        <w:rPr>
          <w:rFonts w:ascii="Times New Roman" w:hAnsi="Times New Roman"/>
          <w:sz w:val="26"/>
          <w:szCs w:val="26"/>
          <w:lang w:eastAsia="ru-RU"/>
        </w:rPr>
        <w:t>К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ультура и кинематография –1135,0</w:t>
      </w:r>
      <w:r w:rsidR="00941B1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21,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0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42385" w:rsidRPr="00A94B54" w:rsidRDefault="00342385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10 Соци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альная политика – 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156,0 тыс. рублей (2,9 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155A66" w:rsidRPr="00A94B54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>зическая культура и спорт – 340,0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22DE2" w:rsidRPr="00A94B54">
        <w:rPr>
          <w:rFonts w:ascii="Times New Roman" w:hAnsi="Times New Roman"/>
          <w:sz w:val="26"/>
          <w:szCs w:val="26"/>
          <w:lang w:eastAsia="ru-RU"/>
        </w:rPr>
        <w:t xml:space="preserve">6,3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0700AB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632EB2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3A54BF" w:rsidRPr="00A94B54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6834,2 </w:t>
      </w:r>
      <w:r w:rsidRPr="00A94B54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308,5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1544"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4,5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 6525,7 тыс. рублей (95,5 </w:t>
      </w:r>
      <w:r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A94B54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3A54BF" w:rsidRPr="00A94B54">
        <w:rPr>
          <w:rFonts w:ascii="Times New Roman" w:hAnsi="Times New Roman"/>
          <w:b/>
          <w:i/>
          <w:sz w:val="26"/>
          <w:szCs w:val="26"/>
          <w:lang w:eastAsia="ru-RU"/>
        </w:rPr>
        <w:t>6867,5</w:t>
      </w:r>
      <w:r w:rsidRPr="00A94B54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010</w:t>
      </w:r>
      <w:r w:rsidR="00167415" w:rsidRPr="00A94B54">
        <w:rPr>
          <w:rFonts w:ascii="Times New Roman" w:hAnsi="Times New Roman"/>
          <w:sz w:val="26"/>
          <w:szCs w:val="26"/>
          <w:lang w:eastAsia="ru-RU"/>
        </w:rPr>
        <w:t>0 Общ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егосударственные вопросы – 2922,4</w:t>
      </w:r>
      <w:r w:rsidR="00981291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(42,5</w:t>
      </w:r>
      <w:r w:rsidRPr="00A94B54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79,9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A94B54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87,3</w:t>
      </w:r>
      <w:r w:rsidR="00AC2CB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рублей (1,3 </w:t>
      </w:r>
      <w:r w:rsidR="006628B5" w:rsidRPr="00A94B54">
        <w:rPr>
          <w:rFonts w:ascii="Times New Roman" w:hAnsi="Times New Roman"/>
          <w:sz w:val="26"/>
          <w:szCs w:val="26"/>
          <w:lang w:eastAsia="ru-RU"/>
        </w:rPr>
        <w:t>%);</w:t>
      </w:r>
      <w:r w:rsidRPr="00A94B54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155A66" w:rsidRPr="00A94B54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* по разделу 0400 Национальная экономика –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1125,4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55113"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 (16,4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A94B54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0500 Ж</w:t>
      </w:r>
      <w:r w:rsidR="00AC2CB0" w:rsidRPr="00A94B54">
        <w:rPr>
          <w:rFonts w:ascii="Times New Roman" w:hAnsi="Times New Roman"/>
          <w:sz w:val="26"/>
          <w:szCs w:val="26"/>
          <w:lang w:eastAsia="ru-RU"/>
        </w:rPr>
        <w:t>илищ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но-коммунальное хозяйство – 706,9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Pr="00A94B54" w:rsidRDefault="00E55113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(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10</w:t>
      </w:r>
      <w:r w:rsidRPr="00A94B54">
        <w:rPr>
          <w:rFonts w:ascii="Times New Roman" w:hAnsi="Times New Roman"/>
          <w:sz w:val="26"/>
          <w:szCs w:val="26"/>
          <w:lang w:eastAsia="ru-RU"/>
        </w:rPr>
        <w:t>,3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A94B54" w:rsidRDefault="00AC2CB0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*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по разделу 0700 Образование – 2,0</w:t>
      </w:r>
      <w:r w:rsidR="009F448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>тыс. рублей (0,1 %);</w:t>
      </w:r>
    </w:p>
    <w:p w:rsidR="00960C86" w:rsidRPr="00A94B54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льтура и кинематография – 1135,0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16,5 </w:t>
      </w:r>
      <w:r w:rsidRPr="00A94B54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A94B54" w:rsidRDefault="00960C8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155A6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1000 Социал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>ьная политика – 515,2</w:t>
      </w:r>
      <w:r w:rsidR="00E55113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(7,5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%)  </w:t>
      </w:r>
    </w:p>
    <w:p w:rsidR="00155A66" w:rsidRPr="00A94B54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 293,4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981291" w:rsidRPr="00A94B54">
        <w:rPr>
          <w:rFonts w:ascii="Times New Roman" w:hAnsi="Times New Roman"/>
          <w:sz w:val="26"/>
          <w:szCs w:val="26"/>
          <w:lang w:eastAsia="ru-RU"/>
        </w:rPr>
        <w:t>4,2</w:t>
      </w:r>
      <w:r w:rsidR="003A54B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A94B54" w:rsidRDefault="00155A66" w:rsidP="00981291">
      <w:pPr>
        <w:widowControl w:val="0"/>
        <w:suppressAutoHyphens/>
        <w:spacing w:after="0" w:line="240" w:lineRule="auto"/>
        <w:ind w:right="-144"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E55113" w:rsidRPr="00A94B54">
        <w:rPr>
          <w:rFonts w:ascii="Times New Roman" w:hAnsi="Times New Roman"/>
          <w:kern w:val="1"/>
          <w:sz w:val="26"/>
          <w:szCs w:val="26"/>
        </w:rPr>
        <w:t>течение 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7</w:t>
      </w:r>
      <w:r w:rsidR="00EE4C26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сел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ьского поселения Тигинское 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9B16A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22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6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127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го поселения Тигинское 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на 2017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годов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(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март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7</w:t>
      </w:r>
      <w:r w:rsidR="00D36217" w:rsidRPr="00A94B54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май</w:t>
      </w:r>
      <w:r w:rsidR="001659D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7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 xml:space="preserve"> 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июнь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7 </w:t>
      </w:r>
      <w:r w:rsidR="0024130D" w:rsidRPr="00A94B54">
        <w:rPr>
          <w:rFonts w:ascii="Times New Roman" w:hAnsi="Times New Roman"/>
          <w:kern w:val="1"/>
          <w:sz w:val="26"/>
          <w:szCs w:val="26"/>
        </w:rPr>
        <w:t xml:space="preserve">г, 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август</w:t>
      </w:r>
      <w:r w:rsidR="006E45E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7</w:t>
      </w:r>
      <w:r w:rsidR="00781A3F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Pr="00A94B54">
        <w:rPr>
          <w:rFonts w:ascii="Times New Roman" w:hAnsi="Times New Roman"/>
          <w:kern w:val="1"/>
          <w:sz w:val="26"/>
          <w:szCs w:val="26"/>
        </w:rPr>
        <w:t>г,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 xml:space="preserve"> </w:t>
      </w:r>
      <w:r w:rsidR="00516627" w:rsidRPr="00A94B54">
        <w:rPr>
          <w:rFonts w:ascii="Times New Roman" w:hAnsi="Times New Roman"/>
          <w:kern w:val="1"/>
          <w:sz w:val="26"/>
          <w:szCs w:val="26"/>
        </w:rPr>
        <w:t>декабрь 201</w:t>
      </w:r>
      <w:r w:rsidR="00981291" w:rsidRPr="00A94B54">
        <w:rPr>
          <w:rFonts w:ascii="Times New Roman" w:hAnsi="Times New Roman"/>
          <w:kern w:val="1"/>
          <w:sz w:val="26"/>
          <w:szCs w:val="26"/>
        </w:rPr>
        <w:t>7</w:t>
      </w:r>
      <w:r w:rsidRPr="00A94B54">
        <w:rPr>
          <w:rFonts w:ascii="Times New Roman" w:hAnsi="Times New Roman"/>
          <w:kern w:val="1"/>
          <w:sz w:val="26"/>
          <w:szCs w:val="26"/>
        </w:rPr>
        <w:t xml:space="preserve"> г).</w:t>
      </w:r>
    </w:p>
    <w:p w:rsidR="004F7CB1" w:rsidRPr="00A94B54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081F21" w:rsidRPr="00A94B54">
        <w:rPr>
          <w:rFonts w:ascii="Times New Roman" w:hAnsi="Times New Roman"/>
          <w:kern w:val="1"/>
          <w:sz w:val="26"/>
          <w:szCs w:val="26"/>
        </w:rPr>
        <w:t xml:space="preserve">   </w:t>
      </w:r>
      <w:r w:rsidR="004F7CB1" w:rsidRPr="00A94B54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981291" w:rsidRPr="00A94B54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742A2D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4F7CB1" w:rsidRPr="00A94B54">
        <w:rPr>
          <w:rFonts w:ascii="Times New Roman" w:hAnsi="Times New Roman"/>
          <w:b/>
          <w:sz w:val="26"/>
          <w:szCs w:val="26"/>
          <w:lang w:eastAsia="ru-RU"/>
        </w:rPr>
        <w:t>год.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исполнены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в сумме 6834,2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 рублей или на 99,4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%. Необходимо отметить, что утверждённые бюджетные назначения составляют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6877,7 тыс. рублей, что на 43,5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56984" w:rsidRPr="00A94B54">
        <w:rPr>
          <w:rFonts w:ascii="Times New Roman" w:hAnsi="Times New Roman"/>
          <w:sz w:val="26"/>
          <w:szCs w:val="26"/>
          <w:lang w:eastAsia="ru-RU"/>
        </w:rPr>
        <w:t xml:space="preserve"> больше </w:t>
      </w:r>
      <w:r w:rsidR="00F16C95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A94B54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2. безвозмездные поступления от других уровней бюджетов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.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4F7CB1" w:rsidRPr="00A94B54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56984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A94B54">
        <w:rPr>
          <w:rFonts w:ascii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4F7CB1" w:rsidRPr="00A94B54" w:rsidRDefault="00456984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94B54">
        <w:rPr>
          <w:rFonts w:ascii="Times New Roman" w:hAnsi="Times New Roman"/>
          <w:b/>
          <w:sz w:val="26"/>
          <w:szCs w:val="26"/>
          <w:lang w:eastAsia="ru-RU"/>
        </w:rPr>
        <w:t xml:space="preserve"> Тигинское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A94B54" w:rsidRDefault="006027AF" w:rsidP="00976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97671D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4F7CB1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A94B54" w:rsidRDefault="007D7F4F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 w:rsidR="00302E8A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5391,3</w:t>
            </w:r>
          </w:p>
        </w:tc>
        <w:tc>
          <w:tcPr>
            <w:tcW w:w="3115" w:type="dxa"/>
          </w:tcPr>
          <w:p w:rsidR="004F7CB1" w:rsidRPr="00A94B54" w:rsidRDefault="00302E8A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6834,2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A94B54" w:rsidRDefault="0024130D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="00302E8A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352,0</w:t>
            </w:r>
          </w:p>
        </w:tc>
        <w:tc>
          <w:tcPr>
            <w:tcW w:w="3115" w:type="dxa"/>
          </w:tcPr>
          <w:p w:rsidR="004F7CB1" w:rsidRPr="00A94B54" w:rsidRDefault="00302E8A" w:rsidP="00241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308,5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A94B54" w:rsidRDefault="00302E8A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-43,5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A94B54" w:rsidRDefault="0024130D" w:rsidP="00302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</w:t>
            </w:r>
            <w:r w:rsidR="00302E8A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5039,3</w:t>
            </w:r>
          </w:p>
        </w:tc>
        <w:tc>
          <w:tcPr>
            <w:tcW w:w="3115" w:type="dxa"/>
          </w:tcPr>
          <w:p w:rsidR="004F7CB1" w:rsidRPr="00A94B54" w:rsidRDefault="00302E8A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6525,7</w:t>
            </w:r>
          </w:p>
        </w:tc>
      </w:tr>
      <w:tr w:rsidR="004F7CB1" w:rsidRPr="00A94B54" w:rsidTr="00213415"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A94B54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A94B54" w:rsidRDefault="009144ED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302E8A"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1486,4</w:t>
            </w:r>
          </w:p>
        </w:tc>
      </w:tr>
    </w:tbl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A94B54">
        <w:rPr>
          <w:rFonts w:ascii="Times New Roman" w:hAnsi="Times New Roman"/>
          <w:sz w:val="26"/>
          <w:szCs w:val="26"/>
          <w:lang w:eastAsia="ru-RU"/>
        </w:rPr>
        <w:t xml:space="preserve"> по налоговым и неналоговым доходам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о </w:t>
      </w:r>
      <w:r w:rsidR="00FE1247" w:rsidRPr="00A94B54">
        <w:rPr>
          <w:rFonts w:ascii="Times New Roman" w:hAnsi="Times New Roman"/>
          <w:sz w:val="26"/>
          <w:szCs w:val="26"/>
          <w:lang w:eastAsia="ru-RU"/>
        </w:rPr>
        <w:t>не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достаточной </w:t>
      </w:r>
      <w:r w:rsidR="003B4DB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 виду того, что отклонения от утвержденного первоначального бюджета по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итогам года, составляют 43,5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24130D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A94B54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0C7F09" w:rsidRPr="00A94B54">
        <w:rPr>
          <w:rFonts w:ascii="Times New Roman" w:hAnsi="Times New Roman"/>
          <w:sz w:val="26"/>
          <w:szCs w:val="26"/>
          <w:lang w:eastAsia="ru-RU"/>
        </w:rPr>
        <w:t xml:space="preserve">годовом 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9144ED" w:rsidRPr="00A94B54">
        <w:rPr>
          <w:rFonts w:ascii="Times New Roman" w:hAnsi="Times New Roman"/>
          <w:sz w:val="26"/>
          <w:szCs w:val="26"/>
          <w:lang w:eastAsia="ru-RU"/>
        </w:rPr>
        <w:t>3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08,5 тыс. руб. (в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 xml:space="preserve">отношении 14,1 </w:t>
      </w:r>
      <w:r w:rsidR="000B4E06" w:rsidRPr="00A94B54">
        <w:rPr>
          <w:rFonts w:ascii="Times New Roman" w:hAnsi="Times New Roman"/>
          <w:sz w:val="26"/>
          <w:szCs w:val="26"/>
          <w:lang w:eastAsia="ru-RU"/>
        </w:rPr>
        <w:t>%).</w:t>
      </w:r>
    </w:p>
    <w:p w:rsidR="003D7425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>план</w:t>
      </w:r>
      <w:r w:rsidR="009144ED" w:rsidRPr="00A94B54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5039,3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302E8A" w:rsidRPr="00A94B54">
        <w:rPr>
          <w:rFonts w:ascii="Times New Roman" w:hAnsi="Times New Roman"/>
          <w:sz w:val="26"/>
          <w:szCs w:val="26"/>
          <w:lang w:eastAsia="ru-RU"/>
        </w:rPr>
        <w:t>6525,7</w:t>
      </w:r>
      <w:r w:rsidR="00886E83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FE1247" w:rsidRPr="00A94B54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A94B54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A94B54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 xml:space="preserve"> данной структуре занимают имущественные налоги:</w:t>
      </w:r>
      <w:r w:rsidR="00A11A8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земельный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– (</w:t>
      </w:r>
      <w:r w:rsidR="00E51B78" w:rsidRPr="00A94B54">
        <w:rPr>
          <w:rFonts w:ascii="Times New Roman" w:hAnsi="Times New Roman"/>
          <w:sz w:val="26"/>
          <w:szCs w:val="26"/>
          <w:lang w:eastAsia="ru-RU"/>
        </w:rPr>
        <w:t xml:space="preserve">67,8 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>, налог на имущество</w:t>
      </w:r>
      <w:r w:rsidR="00E51B78" w:rsidRPr="00A94B54">
        <w:rPr>
          <w:rFonts w:ascii="Times New Roman" w:hAnsi="Times New Roman"/>
          <w:sz w:val="26"/>
          <w:szCs w:val="26"/>
          <w:lang w:eastAsia="ru-RU"/>
        </w:rPr>
        <w:t xml:space="preserve"> – (12,8 </w:t>
      </w:r>
      <w:r w:rsidR="002E3682" w:rsidRPr="00A94B54">
        <w:rPr>
          <w:rFonts w:ascii="Times New Roman" w:hAnsi="Times New Roman"/>
          <w:sz w:val="26"/>
          <w:szCs w:val="26"/>
          <w:lang w:eastAsia="ru-RU"/>
        </w:rPr>
        <w:t>%)</w:t>
      </w:r>
      <w:r w:rsidR="00E34D19" w:rsidRPr="00A94B54">
        <w:rPr>
          <w:rFonts w:ascii="Times New Roman" w:hAnsi="Times New Roman"/>
          <w:sz w:val="26"/>
          <w:szCs w:val="26"/>
          <w:lang w:eastAsia="ru-RU"/>
        </w:rPr>
        <w:t>.</w:t>
      </w:r>
    </w:p>
    <w:p w:rsidR="004F7CB1" w:rsidRPr="00A94B54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Таблица №3</w:t>
      </w:r>
    </w:p>
    <w:p w:rsidR="007D7F4F" w:rsidRPr="00A94B54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A94B54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</w:t>
      </w:r>
    </w:p>
    <w:p w:rsidR="004F7CB1" w:rsidRPr="00A94B54" w:rsidRDefault="007D7F4F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A94B54" w:rsidTr="00302E8A">
        <w:tc>
          <w:tcPr>
            <w:tcW w:w="2848" w:type="dxa"/>
            <w:shd w:val="clear" w:color="auto" w:fill="auto"/>
          </w:tcPr>
          <w:p w:rsidR="00D351C3" w:rsidRPr="00A94B54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A94B54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A94B54" w:rsidRDefault="000C7F09" w:rsidP="000C7F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</w:t>
            </w:r>
            <w:proofErr w:type="gramEnd"/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A5CBD"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A94B54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A94B54" w:rsidRDefault="007D7F4F" w:rsidP="005F7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5F7CF2"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года, %</w:t>
            </w:r>
          </w:p>
        </w:tc>
      </w:tr>
      <w:tr w:rsidR="00D351C3" w:rsidRPr="00A94B54" w:rsidTr="00302E8A">
        <w:tc>
          <w:tcPr>
            <w:tcW w:w="2848" w:type="dxa"/>
            <w:shd w:val="clear" w:color="auto" w:fill="auto"/>
          </w:tcPr>
          <w:p w:rsidR="00D351C3" w:rsidRPr="00A94B54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A94B54" w:rsidRDefault="00302E8A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2343" w:type="dxa"/>
            <w:shd w:val="clear" w:color="auto" w:fill="auto"/>
          </w:tcPr>
          <w:p w:rsidR="00D351C3" w:rsidRPr="00A94B54" w:rsidRDefault="00302E8A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26,2</w:t>
            </w:r>
          </w:p>
        </w:tc>
        <w:tc>
          <w:tcPr>
            <w:tcW w:w="2147" w:type="dxa"/>
            <w:shd w:val="clear" w:color="auto" w:fill="auto"/>
          </w:tcPr>
          <w:p w:rsidR="00D351C3" w:rsidRPr="00A94B54" w:rsidRDefault="00E51B78" w:rsidP="00914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8</w:t>
            </w: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Pr="00A94B5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5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302E8A" w:rsidRPr="00A94B54" w:rsidRDefault="00302E8A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39,6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12,8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302E8A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227,5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209,0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67,8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302E8A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</w:t>
            </w:r>
          </w:p>
        </w:tc>
      </w:tr>
      <w:tr w:rsidR="005F7CF2" w:rsidRPr="00A94B54" w:rsidTr="00302E8A">
        <w:tc>
          <w:tcPr>
            <w:tcW w:w="2848" w:type="dxa"/>
            <w:shd w:val="clear" w:color="auto" w:fill="auto"/>
          </w:tcPr>
          <w:p w:rsidR="005F7CF2" w:rsidRPr="00A94B54" w:rsidRDefault="005F7CF2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Арендная плата</w:t>
            </w:r>
          </w:p>
        </w:tc>
        <w:tc>
          <w:tcPr>
            <w:tcW w:w="2006" w:type="dxa"/>
          </w:tcPr>
          <w:p w:rsidR="005F7CF2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343" w:type="dxa"/>
            <w:shd w:val="clear" w:color="auto" w:fill="auto"/>
          </w:tcPr>
          <w:p w:rsidR="005F7CF2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3,4</w:t>
            </w:r>
          </w:p>
        </w:tc>
        <w:tc>
          <w:tcPr>
            <w:tcW w:w="2147" w:type="dxa"/>
            <w:shd w:val="clear" w:color="auto" w:fill="auto"/>
          </w:tcPr>
          <w:p w:rsidR="005F7CF2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1,1</w:t>
            </w:r>
          </w:p>
        </w:tc>
      </w:tr>
      <w:tr w:rsidR="005F7CF2" w:rsidRPr="00A94B54" w:rsidTr="00302E8A">
        <w:tc>
          <w:tcPr>
            <w:tcW w:w="2848" w:type="dxa"/>
            <w:shd w:val="clear" w:color="auto" w:fill="auto"/>
          </w:tcPr>
          <w:p w:rsidR="005F7CF2" w:rsidRPr="00A94B54" w:rsidRDefault="005F7CF2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06" w:type="dxa"/>
          </w:tcPr>
          <w:p w:rsidR="005F7CF2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2343" w:type="dxa"/>
            <w:shd w:val="clear" w:color="auto" w:fill="auto"/>
          </w:tcPr>
          <w:p w:rsidR="005F7CF2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2147" w:type="dxa"/>
            <w:shd w:val="clear" w:color="auto" w:fill="auto"/>
          </w:tcPr>
          <w:p w:rsidR="005F7CF2" w:rsidRPr="00A94B54" w:rsidRDefault="00E51B78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7,3</w:t>
            </w:r>
          </w:p>
        </w:tc>
      </w:tr>
      <w:tr w:rsidR="00302E8A" w:rsidRPr="00A94B54" w:rsidTr="00302E8A">
        <w:tc>
          <w:tcPr>
            <w:tcW w:w="2848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302E8A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352</w:t>
            </w:r>
            <w:r w:rsidR="00302E8A" w:rsidRPr="00A94B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343" w:type="dxa"/>
            <w:shd w:val="clear" w:color="auto" w:fill="auto"/>
          </w:tcPr>
          <w:p w:rsidR="00302E8A" w:rsidRPr="00A94B54" w:rsidRDefault="005F7CF2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308,5</w:t>
            </w:r>
          </w:p>
        </w:tc>
        <w:tc>
          <w:tcPr>
            <w:tcW w:w="2147" w:type="dxa"/>
            <w:shd w:val="clear" w:color="auto" w:fill="auto"/>
          </w:tcPr>
          <w:p w:rsidR="00302E8A" w:rsidRPr="00A94B54" w:rsidRDefault="00302E8A" w:rsidP="00302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100%</w:t>
            </w:r>
          </w:p>
        </w:tc>
      </w:tr>
    </w:tbl>
    <w:p w:rsidR="00C3639D" w:rsidRPr="00A94B54" w:rsidRDefault="00C3639D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3A117F" w:rsidRPr="00A94B54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B54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A94B54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3430CB" w:rsidRPr="00A94B54">
        <w:rPr>
          <w:rFonts w:ascii="Times New Roman" w:hAnsi="Times New Roman"/>
          <w:sz w:val="26"/>
          <w:szCs w:val="26"/>
          <w:lang w:eastAsia="ar-SA"/>
        </w:rPr>
        <w:t xml:space="preserve">ьского поселения Тигинское </w:t>
      </w:r>
      <w:r w:rsidR="00446D11" w:rsidRPr="00A94B5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430CB" w:rsidRPr="00A94B5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 xml:space="preserve"> (95,5 </w:t>
      </w:r>
      <w:r w:rsidR="003A117F" w:rsidRPr="00A94B54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 xml:space="preserve">Тигинское </w:t>
      </w:r>
      <w:r w:rsidR="003A117F" w:rsidRPr="00A94B54">
        <w:rPr>
          <w:rFonts w:ascii="Times New Roman" w:hAnsi="Times New Roman"/>
          <w:sz w:val="26"/>
          <w:szCs w:val="26"/>
          <w:lang w:eastAsia="ar-SA"/>
        </w:rPr>
        <w:t xml:space="preserve">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7F12FB" w:rsidRPr="00A94B54" w:rsidRDefault="007F12FB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A94B54">
        <w:rPr>
          <w:rFonts w:ascii="Times New Roman" w:hAnsi="Times New Roman"/>
          <w:sz w:val="26"/>
          <w:szCs w:val="26"/>
          <w:lang w:eastAsia="ar-SA"/>
        </w:rPr>
        <w:t>Процент неисполнения по собственным источникам доходов составляет за 201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>7</w:t>
      </w:r>
      <w:r w:rsidR="002E3682" w:rsidRPr="00A94B54">
        <w:rPr>
          <w:rFonts w:ascii="Times New Roman" w:hAnsi="Times New Roman"/>
          <w:sz w:val="26"/>
          <w:szCs w:val="26"/>
          <w:lang w:eastAsia="ar-SA"/>
        </w:rPr>
        <w:t xml:space="preserve"> год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 xml:space="preserve"> – 12,0 </w:t>
      </w:r>
      <w:r w:rsidRPr="00A94B54">
        <w:rPr>
          <w:rFonts w:ascii="Times New Roman" w:hAnsi="Times New Roman"/>
          <w:sz w:val="26"/>
          <w:szCs w:val="26"/>
          <w:lang w:eastAsia="ar-SA"/>
        </w:rPr>
        <w:t>% (</w:t>
      </w:r>
      <w:r w:rsidR="00E97E1C" w:rsidRPr="00A94B54">
        <w:rPr>
          <w:rFonts w:ascii="Times New Roman" w:hAnsi="Times New Roman"/>
          <w:sz w:val="26"/>
          <w:szCs w:val="26"/>
          <w:lang w:eastAsia="ar-SA"/>
        </w:rPr>
        <w:t>43,5</w:t>
      </w:r>
      <w:r w:rsidRPr="00A94B54">
        <w:rPr>
          <w:rFonts w:ascii="Times New Roman" w:hAnsi="Times New Roman"/>
          <w:sz w:val="26"/>
          <w:szCs w:val="26"/>
          <w:lang w:eastAsia="ar-SA"/>
        </w:rPr>
        <w:t xml:space="preserve"> тыс.</w:t>
      </w:r>
      <w:r w:rsidR="007D7F4F" w:rsidRPr="00A94B5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ar-SA"/>
        </w:rPr>
        <w:t>руб.)</w:t>
      </w:r>
    </w:p>
    <w:p w:rsidR="00C51AE9" w:rsidRPr="00A94B54" w:rsidRDefault="00C51AE9" w:rsidP="00D16F3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A94B54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A94B54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F26F15" w:rsidRPr="00A94B54" w:rsidRDefault="00646030" w:rsidP="00F26F1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A94B54">
        <w:rPr>
          <w:rFonts w:ascii="Times New Roman" w:hAnsi="Times New Roman"/>
          <w:sz w:val="26"/>
          <w:szCs w:val="26"/>
          <w:lang w:eastAsia="ru-RU"/>
        </w:rPr>
        <w:t>сел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ьского поселения Тигинское </w:t>
      </w:r>
      <w:r w:rsidR="0090641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117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на 201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>5408,9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рублей.  Плановые расходы 201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 xml:space="preserve">7 года составили 6966,4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>1557,5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E97E1C" w:rsidRPr="00A94B54">
        <w:rPr>
          <w:rFonts w:ascii="Times New Roman" w:hAnsi="Times New Roman"/>
          <w:sz w:val="26"/>
          <w:szCs w:val="26"/>
          <w:lang w:eastAsia="ru-RU"/>
        </w:rPr>
        <w:t xml:space="preserve">28,8 </w:t>
      </w:r>
      <w:r w:rsidR="00476026" w:rsidRPr="00A94B54">
        <w:rPr>
          <w:rFonts w:ascii="Times New Roman" w:hAnsi="Times New Roman"/>
          <w:sz w:val="26"/>
          <w:szCs w:val="26"/>
          <w:lang w:eastAsia="ru-RU"/>
        </w:rPr>
        <w:t>% больше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перв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A94B54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A94B54">
        <w:rPr>
          <w:rFonts w:ascii="Times New Roman" w:hAnsi="Times New Roman"/>
          <w:sz w:val="26"/>
          <w:szCs w:val="26"/>
          <w:lang w:eastAsia="ru-RU"/>
        </w:rPr>
        <w:t>е</w:t>
      </w:r>
      <w:r w:rsidR="00BE78C7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7F7EE8" w:rsidRPr="00A94B54">
        <w:rPr>
          <w:rFonts w:ascii="Times New Roman" w:hAnsi="Times New Roman"/>
          <w:sz w:val="26"/>
          <w:szCs w:val="26"/>
          <w:lang w:eastAsia="ru-RU"/>
        </w:rPr>
        <w:t xml:space="preserve">расходы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–</w:t>
      </w:r>
      <w:proofErr w:type="gramEnd"/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26F15" w:rsidRPr="00A94B54">
        <w:rPr>
          <w:rFonts w:ascii="Times New Roman" w:hAnsi="Times New Roman"/>
          <w:sz w:val="26"/>
          <w:szCs w:val="26"/>
          <w:lang w:eastAsia="ru-RU"/>
        </w:rPr>
        <w:t>6867,5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A94B54">
        <w:rPr>
          <w:rFonts w:ascii="Times New Roman" w:hAnsi="Times New Roman"/>
          <w:sz w:val="26"/>
          <w:szCs w:val="26"/>
          <w:lang w:eastAsia="ru-RU"/>
        </w:rPr>
        <w:t>тыс. руб</w:t>
      </w:r>
      <w:r w:rsidR="00F26F15" w:rsidRPr="00A94B54">
        <w:rPr>
          <w:rFonts w:ascii="Times New Roman" w:hAnsi="Times New Roman"/>
          <w:sz w:val="26"/>
          <w:szCs w:val="26"/>
          <w:lang w:eastAsia="ru-RU"/>
        </w:rPr>
        <w:t>лей, что составляет 98,6</w:t>
      </w:r>
      <w:r w:rsidR="003430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F26F15" w:rsidRPr="00A94B54" w:rsidRDefault="00F26F15" w:rsidP="00F26F15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</w:t>
      </w:r>
      <w:r w:rsidR="00541337" w:rsidRPr="00A94B54">
        <w:rPr>
          <w:rFonts w:ascii="Times New Roman" w:hAnsi="Times New Roman"/>
          <w:sz w:val="26"/>
          <w:szCs w:val="26"/>
          <w:lang w:eastAsia="ru-RU"/>
        </w:rPr>
        <w:t>Таблица № 4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</w:t>
      </w:r>
    </w:p>
    <w:p w:rsidR="00646030" w:rsidRPr="00A94B54" w:rsidRDefault="00F26F15" w:rsidP="00F26F15">
      <w:pPr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(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7D7F4F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1545A" w:rsidRPr="00A94B54">
        <w:rPr>
          <w:rFonts w:ascii="Times New Roman" w:hAnsi="Times New Roman"/>
          <w:sz w:val="26"/>
          <w:szCs w:val="26"/>
          <w:lang w:eastAsia="ru-RU"/>
        </w:rPr>
        <w:t>руб.)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A94B54" w:rsidTr="00C07F2E">
        <w:tc>
          <w:tcPr>
            <w:tcW w:w="2541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A94B54" w:rsidRDefault="00F32536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</w:t>
            </w:r>
          </w:p>
          <w:p w:rsidR="00F32536" w:rsidRPr="00A94B54" w:rsidRDefault="00476026" w:rsidP="00F26F1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F26F15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F32536"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2006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A94B54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2692,2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2971,5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2922,4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87,3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501,8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1125,4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1125,4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397,5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744,7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706,9</w:t>
            </w:r>
          </w:p>
        </w:tc>
      </w:tr>
      <w:tr w:rsidR="002E3682" w:rsidRPr="00A94B54" w:rsidTr="00C07F2E">
        <w:tc>
          <w:tcPr>
            <w:tcW w:w="2541" w:type="dxa"/>
          </w:tcPr>
          <w:p w:rsidR="002E3682" w:rsidRPr="00A94B54" w:rsidRDefault="002E3682" w:rsidP="002E368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449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41,5</w:t>
            </w:r>
          </w:p>
        </w:tc>
        <w:tc>
          <w:tcPr>
            <w:tcW w:w="2006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120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2E3682" w:rsidRPr="00A94B54" w:rsidTr="00C07F2E">
        <w:tc>
          <w:tcPr>
            <w:tcW w:w="2541" w:type="dxa"/>
          </w:tcPr>
          <w:p w:rsidR="002E3682" w:rsidRPr="00A94B54" w:rsidRDefault="002E3682" w:rsidP="002E368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Образование</w:t>
            </w:r>
          </w:p>
        </w:tc>
        <w:tc>
          <w:tcPr>
            <w:tcW w:w="1449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2006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2120" w:type="dxa"/>
          </w:tcPr>
          <w:p w:rsidR="002E3682" w:rsidRPr="00A94B54" w:rsidRDefault="00F26F15" w:rsidP="002E36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4B54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1135,0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1135,0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1135,0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156,0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518,5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515,2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340,0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293,4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293,4</w:t>
            </w:r>
          </w:p>
        </w:tc>
      </w:tr>
      <w:tr w:rsidR="00F32536" w:rsidRPr="00A94B54" w:rsidTr="00C07F2E">
        <w:tc>
          <w:tcPr>
            <w:tcW w:w="2541" w:type="dxa"/>
          </w:tcPr>
          <w:p w:rsidR="00F32536" w:rsidRPr="00A94B54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5408,9</w:t>
            </w:r>
          </w:p>
        </w:tc>
        <w:tc>
          <w:tcPr>
            <w:tcW w:w="2006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6966,4</w:t>
            </w:r>
          </w:p>
        </w:tc>
        <w:tc>
          <w:tcPr>
            <w:tcW w:w="2120" w:type="dxa"/>
          </w:tcPr>
          <w:p w:rsidR="00F32536" w:rsidRPr="00A94B54" w:rsidRDefault="00F26F15" w:rsidP="00BE78C7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94B5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6867,5</w:t>
            </w:r>
          </w:p>
        </w:tc>
      </w:tr>
    </w:tbl>
    <w:p w:rsidR="00646030" w:rsidRPr="00A94B54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2922,4</w:t>
      </w:r>
      <w:r w:rsidR="00C35534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Pr="00A94B54">
        <w:rPr>
          <w:rFonts w:ascii="Times New Roman" w:hAnsi="Times New Roman"/>
          <w:sz w:val="26"/>
          <w:szCs w:val="26"/>
          <w:lang w:eastAsia="ru-RU"/>
        </w:rPr>
        <w:t>рублей или меньше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 xml:space="preserve"> на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49,1</w:t>
      </w:r>
      <w:r w:rsidR="00CD4F2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98,3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79,9</w:t>
      </w:r>
      <w:r w:rsidR="00CF234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A94B54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491560" w:rsidRPr="00A94B54" w:rsidRDefault="0049156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-национальная безопасность и правоохранительная деятельность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–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87,3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лей или меньше на 8,7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9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1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0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%</w:t>
      </w:r>
      <w:r w:rsidRPr="00A94B54">
        <w:rPr>
          <w:rFonts w:ascii="Times New Roman" w:hAnsi="Times New Roman"/>
          <w:sz w:val="26"/>
          <w:szCs w:val="26"/>
          <w:lang w:eastAsia="ru-RU"/>
        </w:rPr>
        <w:t>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на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циональная экономика 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>–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1125,4</w:t>
      </w:r>
      <w:r w:rsidR="0032624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>тыс.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рублей</w:t>
      </w:r>
      <w:r w:rsidR="00CD4F26" w:rsidRPr="00A94B54">
        <w:rPr>
          <w:rFonts w:ascii="Times New Roman" w:hAnsi="Times New Roman"/>
          <w:sz w:val="26"/>
          <w:szCs w:val="26"/>
          <w:lang w:eastAsia="ru-RU"/>
        </w:rPr>
        <w:t>,</w:t>
      </w:r>
      <w:r w:rsidR="003C2E8A" w:rsidRPr="00A94B54">
        <w:rPr>
          <w:rFonts w:ascii="Times New Roman" w:hAnsi="Times New Roman"/>
          <w:sz w:val="26"/>
          <w:szCs w:val="26"/>
          <w:lang w:eastAsia="ru-RU"/>
        </w:rPr>
        <w:t xml:space="preserve"> выполнение (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100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 706,9</w:t>
      </w:r>
      <w:r w:rsidR="00326246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 xml:space="preserve">рублей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или меньше на 37,8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>руб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лей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94,9 </w:t>
      </w:r>
      <w:r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образование –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2,0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6E5958" w:rsidRPr="00A94B54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646030" w:rsidRPr="00A94B54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 ку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льтура и кинематография – 1135,0</w:t>
      </w:r>
      <w:r w:rsidR="00646030"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94706C" w:rsidRPr="00A94B54" w:rsidRDefault="00BA1788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-социальная политика – 515,2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F31CB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3,3 тыс. рублей (99,4 </w:t>
      </w:r>
      <w:r w:rsidR="0094706C" w:rsidRPr="00A94B54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- физическая культура и спорт –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293,4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Pr="00A94B54">
        <w:rPr>
          <w:rFonts w:ascii="Times New Roman" w:hAnsi="Times New Roman"/>
          <w:sz w:val="26"/>
          <w:szCs w:val="26"/>
          <w:lang w:eastAsia="ru-RU"/>
        </w:rPr>
        <w:t>(</w:t>
      </w:r>
      <w:r w:rsidR="00491560" w:rsidRPr="00A94B54">
        <w:rPr>
          <w:rFonts w:ascii="Times New Roman" w:hAnsi="Times New Roman"/>
          <w:sz w:val="26"/>
          <w:szCs w:val="26"/>
          <w:lang w:eastAsia="ru-RU"/>
        </w:rPr>
        <w:t>100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A94B54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A94B54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исполнена на 98,6 </w:t>
      </w:r>
      <w:r w:rsidR="00A66920" w:rsidRPr="00A94B54">
        <w:rPr>
          <w:rFonts w:ascii="Times New Roman" w:hAnsi="Times New Roman"/>
          <w:sz w:val="26"/>
          <w:szCs w:val="26"/>
          <w:lang w:eastAsia="ru-RU"/>
        </w:rPr>
        <w:t xml:space="preserve">%, к первоначально-утвержденному </w:t>
      </w:r>
      <w:r w:rsidR="00D12D7D" w:rsidRPr="00A94B54">
        <w:rPr>
          <w:rFonts w:ascii="Times New Roman" w:hAnsi="Times New Roman"/>
          <w:sz w:val="26"/>
          <w:szCs w:val="26"/>
          <w:lang w:eastAsia="ru-RU"/>
        </w:rPr>
        <w:t>бюджету исполнение расход</w:t>
      </w:r>
      <w:r w:rsidR="001F719E" w:rsidRPr="00A94B54">
        <w:rPr>
          <w:rFonts w:ascii="Times New Roman" w:hAnsi="Times New Roman"/>
          <w:sz w:val="26"/>
          <w:szCs w:val="26"/>
          <w:lang w:eastAsia="ru-RU"/>
        </w:rPr>
        <w:t>ной ча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 xml:space="preserve">сти бюджета составит – 127,0 </w:t>
      </w:r>
      <w:r w:rsidR="00D12D7D" w:rsidRPr="00A94B54">
        <w:rPr>
          <w:rFonts w:ascii="Times New Roman" w:hAnsi="Times New Roman"/>
          <w:sz w:val="26"/>
          <w:szCs w:val="26"/>
          <w:lang w:eastAsia="ru-RU"/>
        </w:rPr>
        <w:t>%.</w:t>
      </w:r>
      <w:r w:rsidR="00D33D90"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51AE9" w:rsidRPr="00A94B54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A94B54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A94B54">
        <w:rPr>
          <w:rFonts w:ascii="Times New Roman" w:hAnsi="Times New Roman"/>
          <w:sz w:val="26"/>
          <w:szCs w:val="26"/>
          <w:lang w:eastAsia="ru-RU"/>
        </w:rPr>
        <w:t>а 201</w:t>
      </w:r>
      <w:r w:rsidR="00BA1788" w:rsidRPr="00A94B54">
        <w:rPr>
          <w:rFonts w:ascii="Times New Roman" w:hAnsi="Times New Roman"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900865" w:rsidRPr="00A94B54" w:rsidRDefault="00900865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94B54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A94B5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A94B54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900865" w:rsidRPr="00A94B54" w:rsidRDefault="00900865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p w:rsidR="00155A66" w:rsidRPr="00A94B54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>годового отчета об исполнении бюджета соблюдены.</w:t>
      </w:r>
      <w:r w:rsidR="00283C0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A94B54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тчетность 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lastRenderedPageBreak/>
        <w:t>достоверно отражает финансовое положе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BA1788" w:rsidRPr="00A94B5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A94B54" w:rsidRDefault="00900865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A94B54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ьского поселения Тигинское 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BA1788" w:rsidRPr="00A94B5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A94B54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A94B54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Тигинское</w:t>
      </w:r>
      <w:r w:rsidR="001B2CB6" w:rsidRPr="00A94B54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A94B54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900865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       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Данные предоставленные для проведения внешней проверки бюджетной отчетности подтверждаются данными годового отче</w:t>
      </w:r>
      <w:r w:rsidR="005774F3" w:rsidRPr="00A94B54">
        <w:rPr>
          <w:rFonts w:ascii="Times New Roman" w:hAnsi="Times New Roman"/>
          <w:bCs/>
          <w:sz w:val="26"/>
          <w:szCs w:val="26"/>
          <w:lang w:eastAsia="ru-RU"/>
        </w:rPr>
        <w:t>та об исполнении бюджета за 201</w:t>
      </w:r>
      <w:r w:rsidR="00BA1788" w:rsidRPr="00A94B5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сельск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>ого поселения Тигинское</w:t>
      </w: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90BC6" w:rsidRPr="00A94B54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BA1788" w:rsidRPr="00A94B54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изменениях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в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бюджет исполнение уточненного п</w:t>
      </w:r>
      <w:r w:rsidR="00BA1788" w:rsidRPr="00A94B54">
        <w:rPr>
          <w:rFonts w:ascii="Times New Roman" w:hAnsi="Times New Roman"/>
          <w:bCs/>
          <w:sz w:val="26"/>
          <w:szCs w:val="26"/>
          <w:lang w:eastAsia="ru-RU"/>
        </w:rPr>
        <w:t>лана составило: по доходам 99,4%, по расходам 98,6</w:t>
      </w:r>
      <w:r w:rsidR="00590BC6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A94B54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119E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недополученные поступления 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(к утвержденным)</w:t>
      </w:r>
      <w:r w:rsidR="000F31CB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F76233" w:rsidRPr="00A94B54">
        <w:rPr>
          <w:rFonts w:ascii="Times New Roman" w:hAnsi="Times New Roman"/>
          <w:bCs/>
          <w:sz w:val="26"/>
          <w:szCs w:val="26"/>
          <w:lang w:eastAsia="ru-RU"/>
        </w:rPr>
        <w:t>практически отсутствуют</w:t>
      </w:r>
      <w:r w:rsidR="00BE6E47" w:rsidRPr="00A94B54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A94B54" w:rsidRDefault="00900865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D12D7D" w:rsidRPr="00A94B54">
        <w:rPr>
          <w:rFonts w:ascii="Times New Roman" w:hAnsi="Times New Roman"/>
          <w:bCs/>
          <w:sz w:val="26"/>
          <w:szCs w:val="26"/>
          <w:lang w:eastAsia="ru-RU"/>
        </w:rPr>
        <w:t>Тигинское</w:t>
      </w:r>
      <w:r w:rsidR="00B119E2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A94B54">
        <w:rPr>
          <w:rFonts w:ascii="Times New Roman" w:hAnsi="Times New Roman"/>
          <w:bCs/>
          <w:sz w:val="26"/>
          <w:szCs w:val="26"/>
          <w:lang w:eastAsia="ru-RU"/>
        </w:rPr>
        <w:t xml:space="preserve">проводится работа по сокращению недоимки и пополнению доходной части бюджета, приняты программы по увеличению </w:t>
      </w:r>
      <w:r w:rsidR="00F76233" w:rsidRPr="00A94B54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A94B54" w:rsidRDefault="006D6958" w:rsidP="006D6958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   </w:t>
      </w:r>
      <w:r w:rsidRPr="00A94B54">
        <w:rPr>
          <w:rFonts w:ascii="Times New Roman" w:hAnsi="Times New Roman"/>
          <w:sz w:val="26"/>
          <w:szCs w:val="26"/>
        </w:rPr>
        <w:t>П</w:t>
      </w:r>
      <w:r w:rsidR="00637070" w:rsidRPr="00A94B54">
        <w:rPr>
          <w:rFonts w:ascii="Times New Roman" w:hAnsi="Times New Roman"/>
          <w:sz w:val="26"/>
          <w:szCs w:val="26"/>
        </w:rPr>
        <w:t>роект р</w:t>
      </w:r>
      <w:r w:rsidR="000C1F34" w:rsidRPr="00A94B54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A94B54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D12D7D" w:rsidRPr="00A94B54">
        <w:rPr>
          <w:rFonts w:ascii="Times New Roman" w:hAnsi="Times New Roman"/>
          <w:sz w:val="26"/>
          <w:szCs w:val="26"/>
        </w:rPr>
        <w:t>Тигинское</w:t>
      </w:r>
      <w:r w:rsidR="00283AB6" w:rsidRPr="00A94B54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D12D7D" w:rsidRPr="00A94B54">
        <w:rPr>
          <w:rFonts w:ascii="Times New Roman" w:hAnsi="Times New Roman"/>
          <w:sz w:val="26"/>
          <w:szCs w:val="26"/>
        </w:rPr>
        <w:t>Тигинское</w:t>
      </w:r>
      <w:r w:rsidR="00FF2AD9" w:rsidRPr="00A94B54">
        <w:rPr>
          <w:rFonts w:ascii="Times New Roman" w:hAnsi="Times New Roman"/>
          <w:sz w:val="26"/>
          <w:szCs w:val="26"/>
        </w:rPr>
        <w:t xml:space="preserve"> за 201</w:t>
      </w:r>
      <w:r w:rsidR="00BA1788" w:rsidRPr="00A94B54">
        <w:rPr>
          <w:rFonts w:ascii="Times New Roman" w:hAnsi="Times New Roman"/>
          <w:sz w:val="26"/>
          <w:szCs w:val="26"/>
        </w:rPr>
        <w:t>7</w:t>
      </w:r>
      <w:r w:rsidR="005538DC" w:rsidRPr="00A94B54">
        <w:rPr>
          <w:rFonts w:ascii="Times New Roman" w:hAnsi="Times New Roman"/>
          <w:sz w:val="26"/>
          <w:szCs w:val="26"/>
        </w:rPr>
        <w:t xml:space="preserve"> </w:t>
      </w:r>
      <w:r w:rsidR="00283AB6" w:rsidRPr="00A94B54">
        <w:rPr>
          <w:rFonts w:ascii="Times New Roman" w:hAnsi="Times New Roman"/>
          <w:sz w:val="26"/>
          <w:szCs w:val="26"/>
        </w:rPr>
        <w:t>год»</w:t>
      </w:r>
      <w:r w:rsidRPr="00A94B54">
        <w:rPr>
          <w:rFonts w:ascii="Times New Roman" w:hAnsi="Times New Roman"/>
          <w:sz w:val="26"/>
          <w:szCs w:val="26"/>
        </w:rPr>
        <w:t xml:space="preserve"> </w:t>
      </w:r>
      <w:r w:rsidR="00283AB6" w:rsidRPr="00A94B54">
        <w:rPr>
          <w:rFonts w:ascii="Times New Roman" w:hAnsi="Times New Roman"/>
          <w:sz w:val="26"/>
          <w:szCs w:val="26"/>
        </w:rPr>
        <w:t>соответствует</w:t>
      </w:r>
      <w:r w:rsidR="000C1F34" w:rsidRPr="00A94B54">
        <w:rPr>
          <w:rFonts w:ascii="Times New Roman" w:hAnsi="Times New Roman"/>
          <w:sz w:val="26"/>
          <w:szCs w:val="26"/>
        </w:rPr>
        <w:t xml:space="preserve"> требованиям </w:t>
      </w:r>
      <w:r w:rsidRPr="00A94B54">
        <w:rPr>
          <w:rFonts w:ascii="Times New Roman" w:hAnsi="Times New Roman"/>
          <w:sz w:val="26"/>
          <w:szCs w:val="26"/>
        </w:rPr>
        <w:t xml:space="preserve">ст.264.6 </w:t>
      </w:r>
      <w:r w:rsidR="000C1F34" w:rsidRPr="00A94B54">
        <w:rPr>
          <w:rFonts w:ascii="Times New Roman" w:hAnsi="Times New Roman"/>
          <w:sz w:val="26"/>
          <w:szCs w:val="26"/>
        </w:rPr>
        <w:t>Бюджетного Кодекс</w:t>
      </w:r>
      <w:r w:rsidR="00F7273E" w:rsidRPr="00A94B54">
        <w:rPr>
          <w:rFonts w:ascii="Times New Roman" w:hAnsi="Times New Roman"/>
          <w:sz w:val="26"/>
          <w:szCs w:val="26"/>
        </w:rPr>
        <w:t>а</w:t>
      </w:r>
      <w:r w:rsidR="000C1F34" w:rsidRPr="00A94B54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A94B54">
        <w:rPr>
          <w:rFonts w:ascii="Times New Roman" w:hAnsi="Times New Roman"/>
          <w:sz w:val="26"/>
          <w:szCs w:val="26"/>
        </w:rPr>
        <w:t>Федерации</w:t>
      </w:r>
      <w:r w:rsidR="00900865" w:rsidRPr="00A94B54">
        <w:rPr>
          <w:rFonts w:ascii="Times New Roman" w:hAnsi="Times New Roman"/>
          <w:sz w:val="26"/>
          <w:szCs w:val="26"/>
        </w:rPr>
        <w:t>, однако, наименования приложений не соответствуют проекту решения.</w:t>
      </w:r>
    </w:p>
    <w:p w:rsidR="00240D58" w:rsidRPr="00A94B54" w:rsidRDefault="00900865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</w:t>
      </w:r>
      <w:r w:rsidR="006D6958" w:rsidRPr="00A94B54">
        <w:rPr>
          <w:rFonts w:ascii="Times New Roman" w:hAnsi="Times New Roman"/>
          <w:sz w:val="26"/>
          <w:szCs w:val="26"/>
        </w:rPr>
        <w:t xml:space="preserve"> На основании выше изложенного КРУ </w:t>
      </w:r>
      <w:r w:rsidR="00F7273E" w:rsidRPr="00A94B54">
        <w:rPr>
          <w:rFonts w:ascii="Times New Roman" w:hAnsi="Times New Roman"/>
          <w:sz w:val="26"/>
          <w:szCs w:val="26"/>
        </w:rPr>
        <w:t>рекомендует:</w:t>
      </w:r>
      <w:r w:rsidR="00DD41B7" w:rsidRPr="00A94B54">
        <w:rPr>
          <w:rFonts w:ascii="Times New Roman" w:hAnsi="Times New Roman"/>
          <w:sz w:val="26"/>
          <w:szCs w:val="26"/>
        </w:rPr>
        <w:t xml:space="preserve"> </w:t>
      </w:r>
    </w:p>
    <w:p w:rsidR="00477BD5" w:rsidRPr="00A94B54" w:rsidRDefault="005E1305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1.Привести проект решения в соответствие со стат</w:t>
      </w:r>
      <w:r w:rsidR="000F31CB" w:rsidRPr="00A94B54">
        <w:rPr>
          <w:rFonts w:ascii="Times New Roman" w:hAnsi="Times New Roman"/>
          <w:sz w:val="26"/>
          <w:szCs w:val="26"/>
        </w:rPr>
        <w:t>ьей 264.6 Бюджетного кодекса РФ</w:t>
      </w:r>
      <w:r w:rsidRPr="00A94B54">
        <w:rPr>
          <w:rFonts w:ascii="Times New Roman" w:hAnsi="Times New Roman"/>
          <w:sz w:val="26"/>
          <w:szCs w:val="26"/>
        </w:rPr>
        <w:t>.</w:t>
      </w:r>
    </w:p>
    <w:p w:rsidR="005E1305" w:rsidRPr="00A94B54" w:rsidRDefault="005E1305" w:rsidP="005E130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2. В течении года осуществлять корректировку Прогноза социально-экономического развития территории. Продолжить работу по развитию доходного потенциала бюджета сельского поселения Тигинское в объемах позволяющих обеспечить устойчивое финансирование реализации задач программы социально –экономического развития поселения.</w:t>
      </w:r>
    </w:p>
    <w:p w:rsidR="0095348E" w:rsidRPr="00A94B54" w:rsidRDefault="0095348E" w:rsidP="005E1305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</w:t>
      </w:r>
      <w:r w:rsidRPr="00A94B54">
        <w:rPr>
          <w:rFonts w:ascii="Times New Roman" w:hAnsi="Times New Roman"/>
          <w:sz w:val="26"/>
          <w:szCs w:val="26"/>
        </w:rPr>
        <w:t>3. Принимать меры по снижению дебиторской и кредиторской задолженности.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</w:t>
      </w:r>
      <w:r w:rsidRPr="00A94B54">
        <w:rPr>
          <w:rFonts w:ascii="Times New Roman" w:hAnsi="Times New Roman"/>
          <w:sz w:val="26"/>
          <w:szCs w:val="26"/>
        </w:rPr>
        <w:t>4. Не допускать возникновения и роста дебиторской и кредиторской задолженности.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</w:t>
      </w:r>
      <w:r w:rsidRPr="00A94B54">
        <w:rPr>
          <w:rFonts w:ascii="Times New Roman" w:hAnsi="Times New Roman"/>
          <w:sz w:val="26"/>
          <w:szCs w:val="26"/>
        </w:rPr>
        <w:t xml:space="preserve"> 5. Учесть изложенные в настоящем заключении замечания </w:t>
      </w:r>
      <w:r w:rsidR="00900865" w:rsidRPr="00A94B54">
        <w:rPr>
          <w:rFonts w:ascii="Times New Roman" w:hAnsi="Times New Roman"/>
          <w:sz w:val="26"/>
          <w:szCs w:val="26"/>
        </w:rPr>
        <w:t>до рассмотрения</w:t>
      </w:r>
      <w:r w:rsidRPr="00A94B54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поселения</w:t>
      </w:r>
      <w:bookmarkStart w:id="0" w:name="_GoBack"/>
      <w:bookmarkEnd w:id="0"/>
      <w:r w:rsidRPr="00A94B54">
        <w:rPr>
          <w:rFonts w:ascii="Times New Roman" w:hAnsi="Times New Roman"/>
          <w:sz w:val="26"/>
          <w:szCs w:val="26"/>
        </w:rPr>
        <w:t xml:space="preserve">, в дальнейшем не допускать неточностей и арифметических ошибок при заполнении приложений по </w:t>
      </w:r>
      <w:r w:rsidR="000F31CB" w:rsidRPr="00A94B54">
        <w:rPr>
          <w:rFonts w:ascii="Times New Roman" w:hAnsi="Times New Roman"/>
          <w:sz w:val="26"/>
          <w:szCs w:val="26"/>
        </w:rPr>
        <w:t>утверждаемым доходам и расходам</w:t>
      </w:r>
      <w:r w:rsidRPr="00A94B54">
        <w:rPr>
          <w:rFonts w:ascii="Times New Roman" w:hAnsi="Times New Roman"/>
          <w:sz w:val="26"/>
          <w:szCs w:val="26"/>
        </w:rPr>
        <w:t xml:space="preserve"> к проекту решения.</w:t>
      </w:r>
    </w:p>
    <w:p w:rsidR="0095348E" w:rsidRPr="00A94B54" w:rsidRDefault="0095348E" w:rsidP="0095348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</w:t>
      </w:r>
      <w:r w:rsidRPr="00A94B54">
        <w:rPr>
          <w:rFonts w:ascii="Times New Roman" w:hAnsi="Times New Roman"/>
          <w:sz w:val="26"/>
          <w:szCs w:val="26"/>
        </w:rPr>
        <w:t xml:space="preserve"> 6. Организовать работу по внедрению в практику программно-целевого метода бюджетного планирования</w:t>
      </w:r>
      <w:r w:rsidR="00BA1788" w:rsidRPr="00A94B54">
        <w:rPr>
          <w:rFonts w:ascii="Times New Roman" w:hAnsi="Times New Roman"/>
          <w:sz w:val="26"/>
          <w:szCs w:val="26"/>
        </w:rPr>
        <w:t>.</w:t>
      </w:r>
    </w:p>
    <w:p w:rsidR="005E1305" w:rsidRPr="00A94B54" w:rsidRDefault="0095348E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 xml:space="preserve">      </w:t>
      </w:r>
      <w:r w:rsidR="00900865" w:rsidRPr="00A94B54">
        <w:rPr>
          <w:rFonts w:ascii="Times New Roman" w:hAnsi="Times New Roman"/>
          <w:sz w:val="26"/>
          <w:szCs w:val="26"/>
        </w:rPr>
        <w:t xml:space="preserve">      </w:t>
      </w:r>
      <w:r w:rsidRPr="00A94B54">
        <w:rPr>
          <w:rFonts w:ascii="Times New Roman" w:hAnsi="Times New Roman"/>
          <w:sz w:val="26"/>
          <w:szCs w:val="26"/>
        </w:rPr>
        <w:t>7. Депутатам Совета рассмотреть отчет об исполнении бюджета сельского поселения Тигинское за 201</w:t>
      </w:r>
      <w:r w:rsidR="00BA1788" w:rsidRPr="00A94B54">
        <w:rPr>
          <w:rFonts w:ascii="Times New Roman" w:hAnsi="Times New Roman"/>
          <w:sz w:val="26"/>
          <w:szCs w:val="26"/>
        </w:rPr>
        <w:t>7</w:t>
      </w:r>
      <w:r w:rsidR="00AD6616" w:rsidRPr="00A94B54">
        <w:rPr>
          <w:rFonts w:ascii="Times New Roman" w:hAnsi="Times New Roman"/>
          <w:sz w:val="26"/>
          <w:szCs w:val="26"/>
        </w:rPr>
        <w:t xml:space="preserve"> год,</w:t>
      </w:r>
      <w:r w:rsidR="00F3660C" w:rsidRPr="00A94B54">
        <w:rPr>
          <w:rFonts w:ascii="Times New Roman" w:hAnsi="Times New Roman"/>
          <w:sz w:val="26"/>
          <w:szCs w:val="26"/>
        </w:rPr>
        <w:t xml:space="preserve"> после приведени</w:t>
      </w:r>
      <w:r w:rsidR="003135D4" w:rsidRPr="00A94B54">
        <w:rPr>
          <w:rFonts w:ascii="Times New Roman" w:hAnsi="Times New Roman"/>
          <w:sz w:val="26"/>
          <w:szCs w:val="26"/>
        </w:rPr>
        <w:t>я проекта решения в соответствие</w:t>
      </w:r>
      <w:r w:rsidR="00F3660C" w:rsidRPr="00A94B54">
        <w:rPr>
          <w:rFonts w:ascii="Times New Roman" w:hAnsi="Times New Roman"/>
          <w:sz w:val="26"/>
          <w:szCs w:val="26"/>
        </w:rPr>
        <w:t xml:space="preserve"> с действующим законодательством.</w:t>
      </w:r>
    </w:p>
    <w:p w:rsidR="00F3660C" w:rsidRPr="00A94B54" w:rsidRDefault="00F3660C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3233BB" w:rsidRPr="00A94B54" w:rsidRDefault="003233BB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731CA2" w:rsidRPr="00A94B54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A94B54">
        <w:rPr>
          <w:rFonts w:ascii="Times New Roman" w:hAnsi="Times New Roman"/>
          <w:sz w:val="26"/>
          <w:szCs w:val="26"/>
        </w:rPr>
        <w:t>Старший и</w:t>
      </w:r>
      <w:r w:rsidR="00900865" w:rsidRPr="00A94B54">
        <w:rPr>
          <w:rFonts w:ascii="Times New Roman" w:hAnsi="Times New Roman"/>
          <w:sz w:val="26"/>
          <w:szCs w:val="26"/>
        </w:rPr>
        <w:t>нспектор контрольно-</w:t>
      </w:r>
    </w:p>
    <w:p w:rsidR="00A07F19" w:rsidRPr="00A94B54" w:rsidRDefault="00E479D5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A94B54">
        <w:rPr>
          <w:rFonts w:ascii="Times New Roman" w:hAnsi="Times New Roman"/>
          <w:sz w:val="26"/>
          <w:szCs w:val="26"/>
        </w:rPr>
        <w:t>р</w:t>
      </w:r>
      <w:r w:rsidR="00F3748E" w:rsidRPr="00A94B54">
        <w:rPr>
          <w:rFonts w:ascii="Times New Roman" w:hAnsi="Times New Roman"/>
          <w:sz w:val="26"/>
          <w:szCs w:val="26"/>
        </w:rPr>
        <w:t>евизионного</w:t>
      </w:r>
      <w:proofErr w:type="gramEnd"/>
      <w:r w:rsidR="00F3748E" w:rsidRPr="00A94B54">
        <w:rPr>
          <w:rFonts w:ascii="Times New Roman" w:hAnsi="Times New Roman"/>
          <w:sz w:val="26"/>
          <w:szCs w:val="26"/>
        </w:rPr>
        <w:t xml:space="preserve"> управления          _______________</w:t>
      </w:r>
      <w:r w:rsidR="000F31CB" w:rsidRPr="00A94B54">
        <w:rPr>
          <w:rFonts w:ascii="Times New Roman" w:hAnsi="Times New Roman"/>
          <w:sz w:val="26"/>
          <w:szCs w:val="26"/>
        </w:rPr>
        <w:t>____                 О.В. Соколова</w:t>
      </w:r>
      <w:r w:rsidR="00A07F19" w:rsidRPr="00A94B54">
        <w:rPr>
          <w:rFonts w:ascii="Times New Roman" w:hAnsi="Times New Roman"/>
          <w:sz w:val="26"/>
          <w:szCs w:val="26"/>
        </w:rPr>
        <w:t xml:space="preserve">       </w:t>
      </w:r>
    </w:p>
    <w:p w:rsidR="00A07F19" w:rsidRPr="00A94B54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A07F19" w:rsidRPr="00A94B54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sectPr w:rsidR="00A07F19" w:rsidRPr="00A94B54" w:rsidSect="00C3639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414" w:rsidRDefault="00111414" w:rsidP="009C6EA6">
      <w:pPr>
        <w:spacing w:after="0" w:line="240" w:lineRule="auto"/>
      </w:pPr>
      <w:r>
        <w:separator/>
      </w:r>
    </w:p>
  </w:endnote>
  <w:endnote w:type="continuationSeparator" w:id="0">
    <w:p w:rsidR="00111414" w:rsidRDefault="00111414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682" w:rsidRDefault="002E368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7822291"/>
      <w:docPartObj>
        <w:docPartGallery w:val="Page Numbers (Bottom of Page)"/>
        <w:docPartUnique/>
      </w:docPartObj>
    </w:sdtPr>
    <w:sdtEndPr/>
    <w:sdtContent>
      <w:p w:rsidR="002E3682" w:rsidRDefault="002E368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737">
          <w:rPr>
            <w:noProof/>
          </w:rPr>
          <w:t>10</w:t>
        </w:r>
        <w:r>
          <w:fldChar w:fldCharType="end"/>
        </w:r>
      </w:p>
    </w:sdtContent>
  </w:sdt>
  <w:p w:rsidR="002E3682" w:rsidRDefault="002E368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682" w:rsidRDefault="002E368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414" w:rsidRDefault="00111414" w:rsidP="009C6EA6">
      <w:pPr>
        <w:spacing w:after="0" w:line="240" w:lineRule="auto"/>
      </w:pPr>
      <w:r>
        <w:separator/>
      </w:r>
    </w:p>
  </w:footnote>
  <w:footnote w:type="continuationSeparator" w:id="0">
    <w:p w:rsidR="00111414" w:rsidRDefault="00111414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682" w:rsidRDefault="002E368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682" w:rsidRDefault="002E368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682" w:rsidRDefault="002E36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3071"/>
    <w:rsid w:val="00013608"/>
    <w:rsid w:val="000210E2"/>
    <w:rsid w:val="00022A42"/>
    <w:rsid w:val="00022C4E"/>
    <w:rsid w:val="000234A5"/>
    <w:rsid w:val="0002511F"/>
    <w:rsid w:val="00025B99"/>
    <w:rsid w:val="000331AF"/>
    <w:rsid w:val="00034E7E"/>
    <w:rsid w:val="0003520E"/>
    <w:rsid w:val="0003651C"/>
    <w:rsid w:val="0004036A"/>
    <w:rsid w:val="0004092C"/>
    <w:rsid w:val="00042057"/>
    <w:rsid w:val="00043ADA"/>
    <w:rsid w:val="00044184"/>
    <w:rsid w:val="0004486C"/>
    <w:rsid w:val="00045176"/>
    <w:rsid w:val="0004644A"/>
    <w:rsid w:val="00047934"/>
    <w:rsid w:val="00047F53"/>
    <w:rsid w:val="00051DB1"/>
    <w:rsid w:val="000520AF"/>
    <w:rsid w:val="00053768"/>
    <w:rsid w:val="00053CD5"/>
    <w:rsid w:val="000600B1"/>
    <w:rsid w:val="000615C2"/>
    <w:rsid w:val="00062FA4"/>
    <w:rsid w:val="00063A7E"/>
    <w:rsid w:val="00063EE8"/>
    <w:rsid w:val="00064529"/>
    <w:rsid w:val="00064542"/>
    <w:rsid w:val="00064FDB"/>
    <w:rsid w:val="00065402"/>
    <w:rsid w:val="0006768A"/>
    <w:rsid w:val="00067E85"/>
    <w:rsid w:val="000700AB"/>
    <w:rsid w:val="00073B6F"/>
    <w:rsid w:val="00077E1E"/>
    <w:rsid w:val="000800C8"/>
    <w:rsid w:val="0008016F"/>
    <w:rsid w:val="00081BF3"/>
    <w:rsid w:val="00081F21"/>
    <w:rsid w:val="000838AD"/>
    <w:rsid w:val="00083AD4"/>
    <w:rsid w:val="00084404"/>
    <w:rsid w:val="00093346"/>
    <w:rsid w:val="00093C17"/>
    <w:rsid w:val="00094212"/>
    <w:rsid w:val="00097B32"/>
    <w:rsid w:val="000A4916"/>
    <w:rsid w:val="000A5703"/>
    <w:rsid w:val="000A5CBD"/>
    <w:rsid w:val="000A6E5B"/>
    <w:rsid w:val="000B08DF"/>
    <w:rsid w:val="000B1FE3"/>
    <w:rsid w:val="000B2D3A"/>
    <w:rsid w:val="000B3F10"/>
    <w:rsid w:val="000B4E06"/>
    <w:rsid w:val="000C1F34"/>
    <w:rsid w:val="000C28E8"/>
    <w:rsid w:val="000C38EF"/>
    <w:rsid w:val="000C7F09"/>
    <w:rsid w:val="000D1A94"/>
    <w:rsid w:val="000D1CE3"/>
    <w:rsid w:val="000D2082"/>
    <w:rsid w:val="000D56C6"/>
    <w:rsid w:val="000D56D8"/>
    <w:rsid w:val="000D625F"/>
    <w:rsid w:val="000D64F9"/>
    <w:rsid w:val="000E3241"/>
    <w:rsid w:val="000E518D"/>
    <w:rsid w:val="000F286B"/>
    <w:rsid w:val="000F31CB"/>
    <w:rsid w:val="000F4F0A"/>
    <w:rsid w:val="000F705B"/>
    <w:rsid w:val="00104010"/>
    <w:rsid w:val="00104676"/>
    <w:rsid w:val="00105A19"/>
    <w:rsid w:val="00111414"/>
    <w:rsid w:val="001137B0"/>
    <w:rsid w:val="001137B2"/>
    <w:rsid w:val="0012013B"/>
    <w:rsid w:val="001206E9"/>
    <w:rsid w:val="001217A5"/>
    <w:rsid w:val="00123AFA"/>
    <w:rsid w:val="00124B11"/>
    <w:rsid w:val="00125608"/>
    <w:rsid w:val="00130212"/>
    <w:rsid w:val="0013166D"/>
    <w:rsid w:val="00135552"/>
    <w:rsid w:val="001360F5"/>
    <w:rsid w:val="001405EE"/>
    <w:rsid w:val="00140F87"/>
    <w:rsid w:val="0014441C"/>
    <w:rsid w:val="00144A42"/>
    <w:rsid w:val="00144B61"/>
    <w:rsid w:val="00150067"/>
    <w:rsid w:val="00154247"/>
    <w:rsid w:val="00154EA2"/>
    <w:rsid w:val="00155A66"/>
    <w:rsid w:val="00156053"/>
    <w:rsid w:val="00156AF3"/>
    <w:rsid w:val="00157B7F"/>
    <w:rsid w:val="001659D1"/>
    <w:rsid w:val="00167415"/>
    <w:rsid w:val="001721F0"/>
    <w:rsid w:val="00173500"/>
    <w:rsid w:val="001736C8"/>
    <w:rsid w:val="001745A1"/>
    <w:rsid w:val="00174B54"/>
    <w:rsid w:val="0017550B"/>
    <w:rsid w:val="001801BE"/>
    <w:rsid w:val="001815EA"/>
    <w:rsid w:val="00182A32"/>
    <w:rsid w:val="00183C36"/>
    <w:rsid w:val="00185926"/>
    <w:rsid w:val="0018700C"/>
    <w:rsid w:val="0018753F"/>
    <w:rsid w:val="0019780E"/>
    <w:rsid w:val="00197B8C"/>
    <w:rsid w:val="001A12A4"/>
    <w:rsid w:val="001A14D0"/>
    <w:rsid w:val="001A5B97"/>
    <w:rsid w:val="001A714C"/>
    <w:rsid w:val="001B1E43"/>
    <w:rsid w:val="001B2CB6"/>
    <w:rsid w:val="001B5199"/>
    <w:rsid w:val="001B7257"/>
    <w:rsid w:val="001C14CA"/>
    <w:rsid w:val="001C507A"/>
    <w:rsid w:val="001C5FA3"/>
    <w:rsid w:val="001C6C8A"/>
    <w:rsid w:val="001D21A8"/>
    <w:rsid w:val="001D2866"/>
    <w:rsid w:val="001D4A58"/>
    <w:rsid w:val="001E0367"/>
    <w:rsid w:val="001E1107"/>
    <w:rsid w:val="001E4285"/>
    <w:rsid w:val="001E5937"/>
    <w:rsid w:val="001F0876"/>
    <w:rsid w:val="001F0FEA"/>
    <w:rsid w:val="001F3C7C"/>
    <w:rsid w:val="001F5C30"/>
    <w:rsid w:val="001F626B"/>
    <w:rsid w:val="001F719E"/>
    <w:rsid w:val="0020004F"/>
    <w:rsid w:val="00200427"/>
    <w:rsid w:val="00202C99"/>
    <w:rsid w:val="00203E2C"/>
    <w:rsid w:val="00205300"/>
    <w:rsid w:val="002056DF"/>
    <w:rsid w:val="00206E76"/>
    <w:rsid w:val="00207213"/>
    <w:rsid w:val="0021211E"/>
    <w:rsid w:val="00213415"/>
    <w:rsid w:val="00213548"/>
    <w:rsid w:val="00213B49"/>
    <w:rsid w:val="00213F68"/>
    <w:rsid w:val="00216054"/>
    <w:rsid w:val="00222980"/>
    <w:rsid w:val="00224D93"/>
    <w:rsid w:val="00225BFC"/>
    <w:rsid w:val="00225DFF"/>
    <w:rsid w:val="0023186A"/>
    <w:rsid w:val="002319E1"/>
    <w:rsid w:val="00232579"/>
    <w:rsid w:val="0023541E"/>
    <w:rsid w:val="00237715"/>
    <w:rsid w:val="00240D58"/>
    <w:rsid w:val="0024130D"/>
    <w:rsid w:val="00242E7D"/>
    <w:rsid w:val="002467E8"/>
    <w:rsid w:val="00246CB0"/>
    <w:rsid w:val="0025090D"/>
    <w:rsid w:val="00252C92"/>
    <w:rsid w:val="00255D2D"/>
    <w:rsid w:val="00261E1F"/>
    <w:rsid w:val="00263341"/>
    <w:rsid w:val="00271338"/>
    <w:rsid w:val="00271A33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544"/>
    <w:rsid w:val="002B09B8"/>
    <w:rsid w:val="002B65EE"/>
    <w:rsid w:val="002B72E7"/>
    <w:rsid w:val="002C2032"/>
    <w:rsid w:val="002C276F"/>
    <w:rsid w:val="002C2833"/>
    <w:rsid w:val="002C34CF"/>
    <w:rsid w:val="002C62D4"/>
    <w:rsid w:val="002D05F8"/>
    <w:rsid w:val="002D0CE6"/>
    <w:rsid w:val="002D23D7"/>
    <w:rsid w:val="002D28A2"/>
    <w:rsid w:val="002D4BB7"/>
    <w:rsid w:val="002D4C6A"/>
    <w:rsid w:val="002D5289"/>
    <w:rsid w:val="002D5735"/>
    <w:rsid w:val="002D625C"/>
    <w:rsid w:val="002D6417"/>
    <w:rsid w:val="002D77F2"/>
    <w:rsid w:val="002E3682"/>
    <w:rsid w:val="002E371D"/>
    <w:rsid w:val="002F3FE1"/>
    <w:rsid w:val="003007E7"/>
    <w:rsid w:val="00300B87"/>
    <w:rsid w:val="00302E8A"/>
    <w:rsid w:val="00304123"/>
    <w:rsid w:val="00305C97"/>
    <w:rsid w:val="0030736B"/>
    <w:rsid w:val="003077C5"/>
    <w:rsid w:val="003122F9"/>
    <w:rsid w:val="003135D4"/>
    <w:rsid w:val="00314467"/>
    <w:rsid w:val="00315008"/>
    <w:rsid w:val="00315B0C"/>
    <w:rsid w:val="00315B77"/>
    <w:rsid w:val="00316532"/>
    <w:rsid w:val="0032162E"/>
    <w:rsid w:val="00322AFF"/>
    <w:rsid w:val="003233BB"/>
    <w:rsid w:val="00325C5D"/>
    <w:rsid w:val="00326246"/>
    <w:rsid w:val="0033141F"/>
    <w:rsid w:val="00332943"/>
    <w:rsid w:val="0033345C"/>
    <w:rsid w:val="003360F0"/>
    <w:rsid w:val="00341162"/>
    <w:rsid w:val="003414B0"/>
    <w:rsid w:val="00342385"/>
    <w:rsid w:val="003430CB"/>
    <w:rsid w:val="00343D18"/>
    <w:rsid w:val="00344BE7"/>
    <w:rsid w:val="00346194"/>
    <w:rsid w:val="0034647B"/>
    <w:rsid w:val="00355959"/>
    <w:rsid w:val="00357420"/>
    <w:rsid w:val="00360A0F"/>
    <w:rsid w:val="0036341B"/>
    <w:rsid w:val="00363DF2"/>
    <w:rsid w:val="003656E0"/>
    <w:rsid w:val="00367857"/>
    <w:rsid w:val="00371633"/>
    <w:rsid w:val="003748AC"/>
    <w:rsid w:val="00381346"/>
    <w:rsid w:val="0038242E"/>
    <w:rsid w:val="00383A96"/>
    <w:rsid w:val="00383AEF"/>
    <w:rsid w:val="003937A2"/>
    <w:rsid w:val="00393AA6"/>
    <w:rsid w:val="00393B87"/>
    <w:rsid w:val="0039565C"/>
    <w:rsid w:val="003977B7"/>
    <w:rsid w:val="003A117F"/>
    <w:rsid w:val="003A32B3"/>
    <w:rsid w:val="003A3EB7"/>
    <w:rsid w:val="003A4DD2"/>
    <w:rsid w:val="003A4F67"/>
    <w:rsid w:val="003A54BF"/>
    <w:rsid w:val="003A7510"/>
    <w:rsid w:val="003B4DBD"/>
    <w:rsid w:val="003B4FA3"/>
    <w:rsid w:val="003B5655"/>
    <w:rsid w:val="003B5DEA"/>
    <w:rsid w:val="003C230F"/>
    <w:rsid w:val="003C2E8A"/>
    <w:rsid w:val="003C3319"/>
    <w:rsid w:val="003C6D1F"/>
    <w:rsid w:val="003D2361"/>
    <w:rsid w:val="003D6EF0"/>
    <w:rsid w:val="003D7425"/>
    <w:rsid w:val="003E1D3B"/>
    <w:rsid w:val="003E21AB"/>
    <w:rsid w:val="003E36CF"/>
    <w:rsid w:val="003E40A5"/>
    <w:rsid w:val="003E472D"/>
    <w:rsid w:val="003E553E"/>
    <w:rsid w:val="003F179F"/>
    <w:rsid w:val="003F2E27"/>
    <w:rsid w:val="003F5F37"/>
    <w:rsid w:val="003F65E0"/>
    <w:rsid w:val="00401F96"/>
    <w:rsid w:val="00403DF8"/>
    <w:rsid w:val="00404C91"/>
    <w:rsid w:val="0040671B"/>
    <w:rsid w:val="00406894"/>
    <w:rsid w:val="0041403F"/>
    <w:rsid w:val="0042676C"/>
    <w:rsid w:val="004277A3"/>
    <w:rsid w:val="00432EFB"/>
    <w:rsid w:val="00441AD5"/>
    <w:rsid w:val="0044591C"/>
    <w:rsid w:val="00446D11"/>
    <w:rsid w:val="00447123"/>
    <w:rsid w:val="004507C1"/>
    <w:rsid w:val="00450B69"/>
    <w:rsid w:val="00450E74"/>
    <w:rsid w:val="004534D1"/>
    <w:rsid w:val="00453A20"/>
    <w:rsid w:val="00455B44"/>
    <w:rsid w:val="00456984"/>
    <w:rsid w:val="00461A91"/>
    <w:rsid w:val="004641F3"/>
    <w:rsid w:val="004670AC"/>
    <w:rsid w:val="0046777B"/>
    <w:rsid w:val="00470888"/>
    <w:rsid w:val="00470E3D"/>
    <w:rsid w:val="00473737"/>
    <w:rsid w:val="00476026"/>
    <w:rsid w:val="00476CB3"/>
    <w:rsid w:val="0047708C"/>
    <w:rsid w:val="004776AA"/>
    <w:rsid w:val="00477BD5"/>
    <w:rsid w:val="00486C14"/>
    <w:rsid w:val="00487D3C"/>
    <w:rsid w:val="00490D10"/>
    <w:rsid w:val="00491560"/>
    <w:rsid w:val="00491C34"/>
    <w:rsid w:val="004A1C35"/>
    <w:rsid w:val="004A1C5B"/>
    <w:rsid w:val="004A5631"/>
    <w:rsid w:val="004A69FA"/>
    <w:rsid w:val="004A6AE4"/>
    <w:rsid w:val="004A7A3B"/>
    <w:rsid w:val="004B00B6"/>
    <w:rsid w:val="004B12AD"/>
    <w:rsid w:val="004B47EB"/>
    <w:rsid w:val="004B49E4"/>
    <w:rsid w:val="004B791C"/>
    <w:rsid w:val="004B7CB3"/>
    <w:rsid w:val="004C1181"/>
    <w:rsid w:val="004C4F60"/>
    <w:rsid w:val="004C7BE9"/>
    <w:rsid w:val="004D36AB"/>
    <w:rsid w:val="004E677E"/>
    <w:rsid w:val="004E7C97"/>
    <w:rsid w:val="004F2A8D"/>
    <w:rsid w:val="004F2B4A"/>
    <w:rsid w:val="004F4A59"/>
    <w:rsid w:val="004F7CB1"/>
    <w:rsid w:val="005002A1"/>
    <w:rsid w:val="00500588"/>
    <w:rsid w:val="00500650"/>
    <w:rsid w:val="005019C6"/>
    <w:rsid w:val="00512622"/>
    <w:rsid w:val="0051400C"/>
    <w:rsid w:val="00514CC4"/>
    <w:rsid w:val="00515606"/>
    <w:rsid w:val="00516269"/>
    <w:rsid w:val="00516627"/>
    <w:rsid w:val="00520066"/>
    <w:rsid w:val="005218B3"/>
    <w:rsid w:val="005227FB"/>
    <w:rsid w:val="0052756C"/>
    <w:rsid w:val="005316C1"/>
    <w:rsid w:val="00531991"/>
    <w:rsid w:val="0053380C"/>
    <w:rsid w:val="0053419F"/>
    <w:rsid w:val="00536FAF"/>
    <w:rsid w:val="00541337"/>
    <w:rsid w:val="005433A9"/>
    <w:rsid w:val="005445E9"/>
    <w:rsid w:val="00545DAF"/>
    <w:rsid w:val="005469D1"/>
    <w:rsid w:val="005474FF"/>
    <w:rsid w:val="005479F6"/>
    <w:rsid w:val="0055117C"/>
    <w:rsid w:val="00551516"/>
    <w:rsid w:val="005525D4"/>
    <w:rsid w:val="005538DC"/>
    <w:rsid w:val="00556CE0"/>
    <w:rsid w:val="00557C46"/>
    <w:rsid w:val="00557EE7"/>
    <w:rsid w:val="005628AA"/>
    <w:rsid w:val="00564136"/>
    <w:rsid w:val="0056651E"/>
    <w:rsid w:val="005679C1"/>
    <w:rsid w:val="0057038F"/>
    <w:rsid w:val="005716E3"/>
    <w:rsid w:val="005774F3"/>
    <w:rsid w:val="005775E1"/>
    <w:rsid w:val="00577F76"/>
    <w:rsid w:val="005826A1"/>
    <w:rsid w:val="00587C25"/>
    <w:rsid w:val="00590BC6"/>
    <w:rsid w:val="0059356E"/>
    <w:rsid w:val="00596849"/>
    <w:rsid w:val="005A54BF"/>
    <w:rsid w:val="005A6865"/>
    <w:rsid w:val="005A743F"/>
    <w:rsid w:val="005B1A6B"/>
    <w:rsid w:val="005B38B2"/>
    <w:rsid w:val="005B5B09"/>
    <w:rsid w:val="005C03D4"/>
    <w:rsid w:val="005C415F"/>
    <w:rsid w:val="005C4871"/>
    <w:rsid w:val="005D1F2C"/>
    <w:rsid w:val="005D1FC3"/>
    <w:rsid w:val="005D7AB4"/>
    <w:rsid w:val="005D7C6F"/>
    <w:rsid w:val="005E0AA7"/>
    <w:rsid w:val="005E1305"/>
    <w:rsid w:val="005E1F68"/>
    <w:rsid w:val="005E2FCD"/>
    <w:rsid w:val="005E316F"/>
    <w:rsid w:val="005F1CB3"/>
    <w:rsid w:val="005F1FE3"/>
    <w:rsid w:val="005F2528"/>
    <w:rsid w:val="005F6EF2"/>
    <w:rsid w:val="005F7B38"/>
    <w:rsid w:val="005F7CF2"/>
    <w:rsid w:val="005F7FE9"/>
    <w:rsid w:val="006027AF"/>
    <w:rsid w:val="00604830"/>
    <w:rsid w:val="00616BB7"/>
    <w:rsid w:val="00620CF5"/>
    <w:rsid w:val="006232B9"/>
    <w:rsid w:val="006245EA"/>
    <w:rsid w:val="00631A67"/>
    <w:rsid w:val="00631E99"/>
    <w:rsid w:val="00632EB2"/>
    <w:rsid w:val="00633C01"/>
    <w:rsid w:val="00635990"/>
    <w:rsid w:val="006368E3"/>
    <w:rsid w:val="006369EE"/>
    <w:rsid w:val="00637070"/>
    <w:rsid w:val="00640792"/>
    <w:rsid w:val="006432E4"/>
    <w:rsid w:val="0064333C"/>
    <w:rsid w:val="00643DA7"/>
    <w:rsid w:val="00646030"/>
    <w:rsid w:val="006542E6"/>
    <w:rsid w:val="006552D0"/>
    <w:rsid w:val="006617CD"/>
    <w:rsid w:val="006624BD"/>
    <w:rsid w:val="006628B5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92574"/>
    <w:rsid w:val="00695064"/>
    <w:rsid w:val="006957F1"/>
    <w:rsid w:val="00697BB6"/>
    <w:rsid w:val="00697EF4"/>
    <w:rsid w:val="006A54B0"/>
    <w:rsid w:val="006B236C"/>
    <w:rsid w:val="006B27EA"/>
    <w:rsid w:val="006C3948"/>
    <w:rsid w:val="006C3B51"/>
    <w:rsid w:val="006C4C13"/>
    <w:rsid w:val="006C5288"/>
    <w:rsid w:val="006C5F94"/>
    <w:rsid w:val="006D00E1"/>
    <w:rsid w:val="006D02BD"/>
    <w:rsid w:val="006D48F5"/>
    <w:rsid w:val="006D4DFB"/>
    <w:rsid w:val="006D52E1"/>
    <w:rsid w:val="006D53BC"/>
    <w:rsid w:val="006D6958"/>
    <w:rsid w:val="006E45EF"/>
    <w:rsid w:val="006E5958"/>
    <w:rsid w:val="006E75EA"/>
    <w:rsid w:val="006F0C6D"/>
    <w:rsid w:val="006F135A"/>
    <w:rsid w:val="006F1FFE"/>
    <w:rsid w:val="006F3E7D"/>
    <w:rsid w:val="006F3EC2"/>
    <w:rsid w:val="006F4CED"/>
    <w:rsid w:val="00707129"/>
    <w:rsid w:val="007127C4"/>
    <w:rsid w:val="0071445B"/>
    <w:rsid w:val="00715485"/>
    <w:rsid w:val="00717BB4"/>
    <w:rsid w:val="00720E34"/>
    <w:rsid w:val="007221A3"/>
    <w:rsid w:val="007261D4"/>
    <w:rsid w:val="00730ED9"/>
    <w:rsid w:val="0073197C"/>
    <w:rsid w:val="00731CA2"/>
    <w:rsid w:val="007341DE"/>
    <w:rsid w:val="00734D16"/>
    <w:rsid w:val="00740DE6"/>
    <w:rsid w:val="0074257F"/>
    <w:rsid w:val="00742A2D"/>
    <w:rsid w:val="007478D7"/>
    <w:rsid w:val="00750FF7"/>
    <w:rsid w:val="00751267"/>
    <w:rsid w:val="00752AB0"/>
    <w:rsid w:val="00753FEC"/>
    <w:rsid w:val="00754DBF"/>
    <w:rsid w:val="00754FFA"/>
    <w:rsid w:val="00756761"/>
    <w:rsid w:val="00761D1E"/>
    <w:rsid w:val="00762911"/>
    <w:rsid w:val="00763A1C"/>
    <w:rsid w:val="007665F1"/>
    <w:rsid w:val="007718B6"/>
    <w:rsid w:val="00774012"/>
    <w:rsid w:val="00781342"/>
    <w:rsid w:val="00781A3F"/>
    <w:rsid w:val="007823E8"/>
    <w:rsid w:val="007864E6"/>
    <w:rsid w:val="00786D1C"/>
    <w:rsid w:val="0079181B"/>
    <w:rsid w:val="0079199D"/>
    <w:rsid w:val="00794094"/>
    <w:rsid w:val="00794BA2"/>
    <w:rsid w:val="00795678"/>
    <w:rsid w:val="0079657A"/>
    <w:rsid w:val="007A0200"/>
    <w:rsid w:val="007A0A0F"/>
    <w:rsid w:val="007A2759"/>
    <w:rsid w:val="007A72D8"/>
    <w:rsid w:val="007B1262"/>
    <w:rsid w:val="007B300F"/>
    <w:rsid w:val="007B31E4"/>
    <w:rsid w:val="007B4244"/>
    <w:rsid w:val="007B687C"/>
    <w:rsid w:val="007C0D29"/>
    <w:rsid w:val="007C27E9"/>
    <w:rsid w:val="007C2914"/>
    <w:rsid w:val="007C35DA"/>
    <w:rsid w:val="007C58DC"/>
    <w:rsid w:val="007C6C81"/>
    <w:rsid w:val="007D2C70"/>
    <w:rsid w:val="007D3788"/>
    <w:rsid w:val="007D4707"/>
    <w:rsid w:val="007D760F"/>
    <w:rsid w:val="007D7F4F"/>
    <w:rsid w:val="007E24A1"/>
    <w:rsid w:val="007E4A50"/>
    <w:rsid w:val="007E6692"/>
    <w:rsid w:val="007F12FB"/>
    <w:rsid w:val="007F2158"/>
    <w:rsid w:val="007F474B"/>
    <w:rsid w:val="007F7EE8"/>
    <w:rsid w:val="008046D7"/>
    <w:rsid w:val="00805971"/>
    <w:rsid w:val="0081446A"/>
    <w:rsid w:val="00816049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72F"/>
    <w:rsid w:val="00836F5A"/>
    <w:rsid w:val="008437FF"/>
    <w:rsid w:val="0084579D"/>
    <w:rsid w:val="00847BFC"/>
    <w:rsid w:val="00847F16"/>
    <w:rsid w:val="00851C59"/>
    <w:rsid w:val="00857015"/>
    <w:rsid w:val="00860FB8"/>
    <w:rsid w:val="00861C9A"/>
    <w:rsid w:val="00866349"/>
    <w:rsid w:val="0086688F"/>
    <w:rsid w:val="008701C2"/>
    <w:rsid w:val="00872ABD"/>
    <w:rsid w:val="00872C63"/>
    <w:rsid w:val="008746EC"/>
    <w:rsid w:val="00877C81"/>
    <w:rsid w:val="00880737"/>
    <w:rsid w:val="00881A95"/>
    <w:rsid w:val="00883FBC"/>
    <w:rsid w:val="00886E83"/>
    <w:rsid w:val="008903FC"/>
    <w:rsid w:val="00891B6A"/>
    <w:rsid w:val="0089655D"/>
    <w:rsid w:val="008A23F5"/>
    <w:rsid w:val="008A3B94"/>
    <w:rsid w:val="008A470E"/>
    <w:rsid w:val="008A68D4"/>
    <w:rsid w:val="008B2FE5"/>
    <w:rsid w:val="008B302E"/>
    <w:rsid w:val="008C157F"/>
    <w:rsid w:val="008C191D"/>
    <w:rsid w:val="008C32C5"/>
    <w:rsid w:val="008C4E02"/>
    <w:rsid w:val="008D2D3B"/>
    <w:rsid w:val="008D6F1A"/>
    <w:rsid w:val="008E2286"/>
    <w:rsid w:val="008E325B"/>
    <w:rsid w:val="008E3D7C"/>
    <w:rsid w:val="008E4D34"/>
    <w:rsid w:val="008F130E"/>
    <w:rsid w:val="008F2AFA"/>
    <w:rsid w:val="008F31AE"/>
    <w:rsid w:val="008F57F0"/>
    <w:rsid w:val="008F66F3"/>
    <w:rsid w:val="008F6BA2"/>
    <w:rsid w:val="008F7017"/>
    <w:rsid w:val="00900865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EDF"/>
    <w:rsid w:val="009144ED"/>
    <w:rsid w:val="0092268B"/>
    <w:rsid w:val="00935195"/>
    <w:rsid w:val="00935460"/>
    <w:rsid w:val="00941B1A"/>
    <w:rsid w:val="00944F0D"/>
    <w:rsid w:val="00946B13"/>
    <w:rsid w:val="0094706C"/>
    <w:rsid w:val="0095348E"/>
    <w:rsid w:val="0095628A"/>
    <w:rsid w:val="009567FB"/>
    <w:rsid w:val="00957C51"/>
    <w:rsid w:val="00960C86"/>
    <w:rsid w:val="00962113"/>
    <w:rsid w:val="009654CE"/>
    <w:rsid w:val="00965B51"/>
    <w:rsid w:val="00966486"/>
    <w:rsid w:val="00973364"/>
    <w:rsid w:val="00974A53"/>
    <w:rsid w:val="009759B4"/>
    <w:rsid w:val="00976577"/>
    <w:rsid w:val="0097671D"/>
    <w:rsid w:val="00981291"/>
    <w:rsid w:val="00983141"/>
    <w:rsid w:val="0098366B"/>
    <w:rsid w:val="009851F0"/>
    <w:rsid w:val="00990B28"/>
    <w:rsid w:val="00993A52"/>
    <w:rsid w:val="0099798F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C01B4"/>
    <w:rsid w:val="009C1F73"/>
    <w:rsid w:val="009C6EA6"/>
    <w:rsid w:val="009C7108"/>
    <w:rsid w:val="009D536A"/>
    <w:rsid w:val="009D5B13"/>
    <w:rsid w:val="009D6A57"/>
    <w:rsid w:val="009D7566"/>
    <w:rsid w:val="009E0963"/>
    <w:rsid w:val="009E3290"/>
    <w:rsid w:val="009E438D"/>
    <w:rsid w:val="009E5CE9"/>
    <w:rsid w:val="009E7969"/>
    <w:rsid w:val="009F29F4"/>
    <w:rsid w:val="009F448F"/>
    <w:rsid w:val="009F574D"/>
    <w:rsid w:val="00A03B86"/>
    <w:rsid w:val="00A07F19"/>
    <w:rsid w:val="00A11105"/>
    <w:rsid w:val="00A11A8B"/>
    <w:rsid w:val="00A1545A"/>
    <w:rsid w:val="00A2146E"/>
    <w:rsid w:val="00A22701"/>
    <w:rsid w:val="00A2574D"/>
    <w:rsid w:val="00A257D8"/>
    <w:rsid w:val="00A32660"/>
    <w:rsid w:val="00A3547E"/>
    <w:rsid w:val="00A3585E"/>
    <w:rsid w:val="00A35D03"/>
    <w:rsid w:val="00A406DC"/>
    <w:rsid w:val="00A47446"/>
    <w:rsid w:val="00A54A2D"/>
    <w:rsid w:val="00A56144"/>
    <w:rsid w:val="00A62DD2"/>
    <w:rsid w:val="00A6674B"/>
    <w:rsid w:val="00A66920"/>
    <w:rsid w:val="00A67A07"/>
    <w:rsid w:val="00A70C98"/>
    <w:rsid w:val="00A71ED7"/>
    <w:rsid w:val="00A72578"/>
    <w:rsid w:val="00A7298C"/>
    <w:rsid w:val="00A738C8"/>
    <w:rsid w:val="00A75D6B"/>
    <w:rsid w:val="00A76020"/>
    <w:rsid w:val="00A83583"/>
    <w:rsid w:val="00A84711"/>
    <w:rsid w:val="00A84CD1"/>
    <w:rsid w:val="00A8611D"/>
    <w:rsid w:val="00A874D7"/>
    <w:rsid w:val="00A92011"/>
    <w:rsid w:val="00A948B0"/>
    <w:rsid w:val="00A94B54"/>
    <w:rsid w:val="00A94BAB"/>
    <w:rsid w:val="00A95223"/>
    <w:rsid w:val="00A97B0A"/>
    <w:rsid w:val="00AA0732"/>
    <w:rsid w:val="00AA12B4"/>
    <w:rsid w:val="00AA350B"/>
    <w:rsid w:val="00AA3E1B"/>
    <w:rsid w:val="00AA41DD"/>
    <w:rsid w:val="00AA6D46"/>
    <w:rsid w:val="00AB3810"/>
    <w:rsid w:val="00AB567D"/>
    <w:rsid w:val="00AB680D"/>
    <w:rsid w:val="00AB6B87"/>
    <w:rsid w:val="00AC2647"/>
    <w:rsid w:val="00AC2CB0"/>
    <w:rsid w:val="00AD0ED6"/>
    <w:rsid w:val="00AD258C"/>
    <w:rsid w:val="00AD5541"/>
    <w:rsid w:val="00AD6616"/>
    <w:rsid w:val="00AD7B5E"/>
    <w:rsid w:val="00AE021B"/>
    <w:rsid w:val="00AE1DB4"/>
    <w:rsid w:val="00AE48CA"/>
    <w:rsid w:val="00AE52EA"/>
    <w:rsid w:val="00AE687A"/>
    <w:rsid w:val="00AE7CAC"/>
    <w:rsid w:val="00AF089F"/>
    <w:rsid w:val="00AF47C7"/>
    <w:rsid w:val="00AF5326"/>
    <w:rsid w:val="00B0260B"/>
    <w:rsid w:val="00B02A2B"/>
    <w:rsid w:val="00B03DE0"/>
    <w:rsid w:val="00B060EA"/>
    <w:rsid w:val="00B066F7"/>
    <w:rsid w:val="00B07C62"/>
    <w:rsid w:val="00B119E2"/>
    <w:rsid w:val="00B16F30"/>
    <w:rsid w:val="00B21548"/>
    <w:rsid w:val="00B230F2"/>
    <w:rsid w:val="00B243F1"/>
    <w:rsid w:val="00B244AF"/>
    <w:rsid w:val="00B26B99"/>
    <w:rsid w:val="00B3035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57CE7"/>
    <w:rsid w:val="00B602FB"/>
    <w:rsid w:val="00B61325"/>
    <w:rsid w:val="00B67000"/>
    <w:rsid w:val="00B706BF"/>
    <w:rsid w:val="00B72363"/>
    <w:rsid w:val="00B75F01"/>
    <w:rsid w:val="00B7676C"/>
    <w:rsid w:val="00B87154"/>
    <w:rsid w:val="00B95E5F"/>
    <w:rsid w:val="00BA1788"/>
    <w:rsid w:val="00BA3495"/>
    <w:rsid w:val="00BA410E"/>
    <w:rsid w:val="00BB001F"/>
    <w:rsid w:val="00BB2698"/>
    <w:rsid w:val="00BB4076"/>
    <w:rsid w:val="00BB5EE0"/>
    <w:rsid w:val="00BB6178"/>
    <w:rsid w:val="00BB6403"/>
    <w:rsid w:val="00BC4840"/>
    <w:rsid w:val="00BC4ECD"/>
    <w:rsid w:val="00BC73C7"/>
    <w:rsid w:val="00BD18A4"/>
    <w:rsid w:val="00BD6D4A"/>
    <w:rsid w:val="00BD6F20"/>
    <w:rsid w:val="00BE1396"/>
    <w:rsid w:val="00BE4B30"/>
    <w:rsid w:val="00BE6E47"/>
    <w:rsid w:val="00BE78C7"/>
    <w:rsid w:val="00BF19DA"/>
    <w:rsid w:val="00BF2A65"/>
    <w:rsid w:val="00BF2DE4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20185"/>
    <w:rsid w:val="00C208A5"/>
    <w:rsid w:val="00C2391D"/>
    <w:rsid w:val="00C3206D"/>
    <w:rsid w:val="00C347C7"/>
    <w:rsid w:val="00C35534"/>
    <w:rsid w:val="00C3639D"/>
    <w:rsid w:val="00C408D2"/>
    <w:rsid w:val="00C426F8"/>
    <w:rsid w:val="00C43D2C"/>
    <w:rsid w:val="00C44538"/>
    <w:rsid w:val="00C47A88"/>
    <w:rsid w:val="00C50225"/>
    <w:rsid w:val="00C51AE9"/>
    <w:rsid w:val="00C51C6C"/>
    <w:rsid w:val="00C527E3"/>
    <w:rsid w:val="00C55C50"/>
    <w:rsid w:val="00C57C58"/>
    <w:rsid w:val="00C6371D"/>
    <w:rsid w:val="00C63D06"/>
    <w:rsid w:val="00C70C1A"/>
    <w:rsid w:val="00C71C6E"/>
    <w:rsid w:val="00C7505D"/>
    <w:rsid w:val="00C75361"/>
    <w:rsid w:val="00C77D84"/>
    <w:rsid w:val="00C81639"/>
    <w:rsid w:val="00C826CC"/>
    <w:rsid w:val="00C85CE4"/>
    <w:rsid w:val="00C927EE"/>
    <w:rsid w:val="00CA13D5"/>
    <w:rsid w:val="00CA2842"/>
    <w:rsid w:val="00CA3C13"/>
    <w:rsid w:val="00CA74F9"/>
    <w:rsid w:val="00CA77CB"/>
    <w:rsid w:val="00CA79CC"/>
    <w:rsid w:val="00CB3715"/>
    <w:rsid w:val="00CB3BBB"/>
    <w:rsid w:val="00CB548F"/>
    <w:rsid w:val="00CC2580"/>
    <w:rsid w:val="00CC41AA"/>
    <w:rsid w:val="00CC763C"/>
    <w:rsid w:val="00CD21AA"/>
    <w:rsid w:val="00CD333D"/>
    <w:rsid w:val="00CD4F26"/>
    <w:rsid w:val="00CD75CA"/>
    <w:rsid w:val="00CE006E"/>
    <w:rsid w:val="00CE602E"/>
    <w:rsid w:val="00CF108D"/>
    <w:rsid w:val="00CF1E1A"/>
    <w:rsid w:val="00CF2340"/>
    <w:rsid w:val="00CF3153"/>
    <w:rsid w:val="00CF3FDC"/>
    <w:rsid w:val="00CF4D49"/>
    <w:rsid w:val="00D017BD"/>
    <w:rsid w:val="00D0295D"/>
    <w:rsid w:val="00D11AFF"/>
    <w:rsid w:val="00D12D7D"/>
    <w:rsid w:val="00D16889"/>
    <w:rsid w:val="00D16F36"/>
    <w:rsid w:val="00D20AFF"/>
    <w:rsid w:val="00D223A4"/>
    <w:rsid w:val="00D22DE2"/>
    <w:rsid w:val="00D2631C"/>
    <w:rsid w:val="00D27681"/>
    <w:rsid w:val="00D30F65"/>
    <w:rsid w:val="00D33D90"/>
    <w:rsid w:val="00D350D6"/>
    <w:rsid w:val="00D351C3"/>
    <w:rsid w:val="00D36217"/>
    <w:rsid w:val="00D37561"/>
    <w:rsid w:val="00D46D1E"/>
    <w:rsid w:val="00D46EEF"/>
    <w:rsid w:val="00D47607"/>
    <w:rsid w:val="00D50E09"/>
    <w:rsid w:val="00D519E7"/>
    <w:rsid w:val="00D52FD3"/>
    <w:rsid w:val="00D543F2"/>
    <w:rsid w:val="00D57E76"/>
    <w:rsid w:val="00D661D8"/>
    <w:rsid w:val="00D67743"/>
    <w:rsid w:val="00D77DE0"/>
    <w:rsid w:val="00D82186"/>
    <w:rsid w:val="00D84CDC"/>
    <w:rsid w:val="00D86F78"/>
    <w:rsid w:val="00D929BA"/>
    <w:rsid w:val="00D92BB9"/>
    <w:rsid w:val="00D92F96"/>
    <w:rsid w:val="00D93C9E"/>
    <w:rsid w:val="00D93FC6"/>
    <w:rsid w:val="00D95A1B"/>
    <w:rsid w:val="00D97EC5"/>
    <w:rsid w:val="00DA0893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4DEE"/>
    <w:rsid w:val="00DC4F73"/>
    <w:rsid w:val="00DD1086"/>
    <w:rsid w:val="00DD207C"/>
    <w:rsid w:val="00DD3A52"/>
    <w:rsid w:val="00DD41B7"/>
    <w:rsid w:val="00DD5586"/>
    <w:rsid w:val="00DD5731"/>
    <w:rsid w:val="00DD5E58"/>
    <w:rsid w:val="00DD7E4E"/>
    <w:rsid w:val="00DE1EF4"/>
    <w:rsid w:val="00DE3794"/>
    <w:rsid w:val="00DF190D"/>
    <w:rsid w:val="00DF3FCA"/>
    <w:rsid w:val="00DF4336"/>
    <w:rsid w:val="00DF4786"/>
    <w:rsid w:val="00DF4DBC"/>
    <w:rsid w:val="00DF75B2"/>
    <w:rsid w:val="00E02BF2"/>
    <w:rsid w:val="00E0443C"/>
    <w:rsid w:val="00E05EE6"/>
    <w:rsid w:val="00E1117B"/>
    <w:rsid w:val="00E136F3"/>
    <w:rsid w:val="00E138B1"/>
    <w:rsid w:val="00E17E78"/>
    <w:rsid w:val="00E206DC"/>
    <w:rsid w:val="00E20EED"/>
    <w:rsid w:val="00E25AB7"/>
    <w:rsid w:val="00E26EAD"/>
    <w:rsid w:val="00E309A4"/>
    <w:rsid w:val="00E34D19"/>
    <w:rsid w:val="00E4365B"/>
    <w:rsid w:val="00E447D8"/>
    <w:rsid w:val="00E45D89"/>
    <w:rsid w:val="00E479D5"/>
    <w:rsid w:val="00E51B78"/>
    <w:rsid w:val="00E55113"/>
    <w:rsid w:val="00E564E7"/>
    <w:rsid w:val="00E60B91"/>
    <w:rsid w:val="00E61DC5"/>
    <w:rsid w:val="00E62CD8"/>
    <w:rsid w:val="00E64792"/>
    <w:rsid w:val="00E65A62"/>
    <w:rsid w:val="00E7540A"/>
    <w:rsid w:val="00E77D7A"/>
    <w:rsid w:val="00E800A0"/>
    <w:rsid w:val="00E840FC"/>
    <w:rsid w:val="00E85E2F"/>
    <w:rsid w:val="00E86133"/>
    <w:rsid w:val="00E90C92"/>
    <w:rsid w:val="00E916ED"/>
    <w:rsid w:val="00E92864"/>
    <w:rsid w:val="00E92D0A"/>
    <w:rsid w:val="00E93736"/>
    <w:rsid w:val="00E9413C"/>
    <w:rsid w:val="00E97E1C"/>
    <w:rsid w:val="00EA1B37"/>
    <w:rsid w:val="00EA5BD2"/>
    <w:rsid w:val="00EA5C31"/>
    <w:rsid w:val="00EA6BBC"/>
    <w:rsid w:val="00EA6D86"/>
    <w:rsid w:val="00EA7293"/>
    <w:rsid w:val="00EB108A"/>
    <w:rsid w:val="00EB375D"/>
    <w:rsid w:val="00EB4895"/>
    <w:rsid w:val="00EB5626"/>
    <w:rsid w:val="00EB5FC0"/>
    <w:rsid w:val="00EC2978"/>
    <w:rsid w:val="00EC31E6"/>
    <w:rsid w:val="00EC4D7D"/>
    <w:rsid w:val="00ED2584"/>
    <w:rsid w:val="00ED5434"/>
    <w:rsid w:val="00EE24FF"/>
    <w:rsid w:val="00EE259E"/>
    <w:rsid w:val="00EE4C26"/>
    <w:rsid w:val="00EE5F9E"/>
    <w:rsid w:val="00EE6AF4"/>
    <w:rsid w:val="00EE6FC0"/>
    <w:rsid w:val="00EE7581"/>
    <w:rsid w:val="00EF2EDF"/>
    <w:rsid w:val="00EF53C8"/>
    <w:rsid w:val="00EF7D0C"/>
    <w:rsid w:val="00F004A5"/>
    <w:rsid w:val="00F06A99"/>
    <w:rsid w:val="00F07630"/>
    <w:rsid w:val="00F115B9"/>
    <w:rsid w:val="00F1287D"/>
    <w:rsid w:val="00F12C21"/>
    <w:rsid w:val="00F16C95"/>
    <w:rsid w:val="00F20410"/>
    <w:rsid w:val="00F21130"/>
    <w:rsid w:val="00F23393"/>
    <w:rsid w:val="00F25A22"/>
    <w:rsid w:val="00F26F15"/>
    <w:rsid w:val="00F27308"/>
    <w:rsid w:val="00F32536"/>
    <w:rsid w:val="00F35AE4"/>
    <w:rsid w:val="00F3660C"/>
    <w:rsid w:val="00F3748E"/>
    <w:rsid w:val="00F37AFF"/>
    <w:rsid w:val="00F41943"/>
    <w:rsid w:val="00F42E59"/>
    <w:rsid w:val="00F4452F"/>
    <w:rsid w:val="00F50A33"/>
    <w:rsid w:val="00F52FA9"/>
    <w:rsid w:val="00F537AB"/>
    <w:rsid w:val="00F60E14"/>
    <w:rsid w:val="00F62695"/>
    <w:rsid w:val="00F646EB"/>
    <w:rsid w:val="00F6511D"/>
    <w:rsid w:val="00F65496"/>
    <w:rsid w:val="00F66675"/>
    <w:rsid w:val="00F7273E"/>
    <w:rsid w:val="00F76233"/>
    <w:rsid w:val="00F76B1B"/>
    <w:rsid w:val="00F85697"/>
    <w:rsid w:val="00F86AB0"/>
    <w:rsid w:val="00F903E0"/>
    <w:rsid w:val="00F91AD4"/>
    <w:rsid w:val="00F92547"/>
    <w:rsid w:val="00F92754"/>
    <w:rsid w:val="00F9729E"/>
    <w:rsid w:val="00FA36BF"/>
    <w:rsid w:val="00FA3E64"/>
    <w:rsid w:val="00FA5414"/>
    <w:rsid w:val="00FA6124"/>
    <w:rsid w:val="00FB0B6A"/>
    <w:rsid w:val="00FB0F37"/>
    <w:rsid w:val="00FB3144"/>
    <w:rsid w:val="00FB786B"/>
    <w:rsid w:val="00FB7D20"/>
    <w:rsid w:val="00FD4C41"/>
    <w:rsid w:val="00FD4CA9"/>
    <w:rsid w:val="00FD4EDA"/>
    <w:rsid w:val="00FD73D5"/>
    <w:rsid w:val="00FD7571"/>
    <w:rsid w:val="00FE0FE1"/>
    <w:rsid w:val="00FE1247"/>
    <w:rsid w:val="00FE5B48"/>
    <w:rsid w:val="00FE6DA4"/>
    <w:rsid w:val="00FF2AD9"/>
    <w:rsid w:val="00FF2B62"/>
    <w:rsid w:val="00FF4CB6"/>
    <w:rsid w:val="00FF5D30"/>
    <w:rsid w:val="00FF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  <w:style w:type="paragraph" w:customStyle="1" w:styleId="ConsPlusNormal">
    <w:name w:val="ConsPlusNormal"/>
    <w:rsid w:val="003F65E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A16101B7BBE752B2B9B71E296E5CE1C839FF08E75971B728C54D7E7A0F976EB71891A2E3E029F85DC1xB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yperlink" Target="consultantplus://offline/ref=CCA4444F4FCC68C6830F3A8006E21860655D88716E52F1EF0E420CA63E0CC784FA871D51C3DC0135XC0A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6101B7BBE752B2B9B71E296E5CE1C839FF08E75971B728C54D7E7A0F976EB71891A2E3E029F251C1x4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959C1xB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CCA4444F4FCC68C6830F3A8006E21860655D88716E52F1EF0E420CA63E0CC784FA871D51C3DC0135XC0AK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1D93-BB39-42EB-A005-645E920B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10535</TotalTime>
  <Pages>1</Pages>
  <Words>3909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419</cp:revision>
  <cp:lastPrinted>2018-03-28T06:19:00Z</cp:lastPrinted>
  <dcterms:created xsi:type="dcterms:W3CDTF">2013-04-03T11:30:00Z</dcterms:created>
  <dcterms:modified xsi:type="dcterms:W3CDTF">2018-03-28T06:24:00Z</dcterms:modified>
</cp:coreProperties>
</file>