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решения Совета сельского поселения </w:t>
      </w:r>
      <w:r w:rsidR="001955A5">
        <w:rPr>
          <w:rFonts w:ascii="Times New Roman" w:hAnsi="Times New Roman"/>
          <w:b/>
          <w:sz w:val="28"/>
          <w:szCs w:val="28"/>
        </w:rPr>
        <w:t>Тигинское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1955A5">
        <w:rPr>
          <w:rFonts w:ascii="Times New Roman" w:hAnsi="Times New Roman"/>
          <w:b/>
          <w:sz w:val="28"/>
          <w:szCs w:val="28"/>
        </w:rPr>
        <w:t>Тигинское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</w:t>
      </w:r>
      <w:r w:rsidR="0084097C">
        <w:rPr>
          <w:rFonts w:ascii="Times New Roman" w:hAnsi="Times New Roman"/>
          <w:b/>
          <w:sz w:val="28"/>
          <w:szCs w:val="28"/>
        </w:rPr>
        <w:t>2020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717E6A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4097C">
        <w:rPr>
          <w:rFonts w:ascii="Times New Roman" w:hAnsi="Times New Roman"/>
          <w:sz w:val="28"/>
          <w:szCs w:val="28"/>
        </w:rPr>
        <w:t>3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 xml:space="preserve">марта </w:t>
      </w:r>
      <w:r w:rsidR="0084097C">
        <w:rPr>
          <w:rFonts w:ascii="Times New Roman" w:hAnsi="Times New Roman"/>
          <w:sz w:val="28"/>
          <w:szCs w:val="28"/>
        </w:rPr>
        <w:t>2021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5F3E6D">
        <w:rPr>
          <w:rFonts w:ascii="Times New Roman" w:hAnsi="Times New Roman"/>
          <w:sz w:val="28"/>
          <w:szCs w:val="28"/>
        </w:rPr>
        <w:t>40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84097C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от 2</w:t>
      </w:r>
      <w:r w:rsidR="00BF2E4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BF2E4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BF2E47">
        <w:rPr>
          <w:rFonts w:ascii="Times New Roman" w:eastAsia="Times New Roman" w:hAnsi="Times New Roman"/>
          <w:sz w:val="28"/>
          <w:szCs w:val="28"/>
          <w:lang w:eastAsia="ru-RU"/>
        </w:rPr>
        <w:t>33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84097C">
        <w:rPr>
          <w:rFonts w:ascii="Times New Roman" w:hAnsi="Times New Roman"/>
          <w:sz w:val="28"/>
          <w:szCs w:val="28"/>
        </w:rPr>
        <w:t>2020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84097C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84097C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955A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84097C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5E0A95" w:rsidRPr="00DF470F" w:rsidRDefault="005E0A95" w:rsidP="005E0A95">
      <w:pPr>
        <w:pStyle w:val="ad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F5D30" w:rsidRPr="00DF470F" w:rsidRDefault="003F729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="0084097C">
        <w:rPr>
          <w:rFonts w:ascii="Times New Roman" w:hAnsi="Times New Roman"/>
          <w:sz w:val="28"/>
          <w:szCs w:val="28"/>
          <w:lang w:eastAsia="ru-RU"/>
        </w:rPr>
        <w:t xml:space="preserve"> от 19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84097C">
        <w:rPr>
          <w:rFonts w:ascii="Times New Roman" w:hAnsi="Times New Roman"/>
          <w:sz w:val="28"/>
          <w:szCs w:val="28"/>
          <w:lang w:eastAsia="ru-RU"/>
        </w:rPr>
        <w:t>2019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097C">
        <w:rPr>
          <w:rFonts w:ascii="Times New Roman" w:hAnsi="Times New Roman"/>
          <w:sz w:val="28"/>
          <w:szCs w:val="28"/>
          <w:lang w:eastAsia="ru-RU"/>
        </w:rPr>
        <w:t>25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84097C">
        <w:rPr>
          <w:rFonts w:ascii="Times New Roman" w:hAnsi="Times New Roman"/>
          <w:sz w:val="28"/>
          <w:szCs w:val="28"/>
          <w:lang w:eastAsia="ru-RU"/>
        </w:rPr>
        <w:t>2020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84097C">
        <w:rPr>
          <w:rFonts w:ascii="Times New Roman" w:hAnsi="Times New Roman"/>
          <w:sz w:val="28"/>
          <w:szCs w:val="28"/>
          <w:lang w:eastAsia="ru-RU"/>
        </w:rPr>
        <w:t>2021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84097C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в сумме </w:t>
      </w:r>
      <w:r w:rsidR="0084097C">
        <w:rPr>
          <w:rFonts w:ascii="Times New Roman" w:hAnsi="Times New Roman"/>
          <w:sz w:val="28"/>
          <w:szCs w:val="28"/>
          <w:lang w:eastAsia="ru-RU"/>
        </w:rPr>
        <w:t>7882,1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расходам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097C">
        <w:rPr>
          <w:rFonts w:ascii="Times New Roman" w:hAnsi="Times New Roman"/>
          <w:sz w:val="28"/>
          <w:szCs w:val="28"/>
          <w:lang w:eastAsia="ru-RU"/>
        </w:rPr>
        <w:t>7899,0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тыс. 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, дефицит бюджета в сумме </w:t>
      </w:r>
      <w:r w:rsidR="0084097C">
        <w:rPr>
          <w:rFonts w:ascii="Times New Roman" w:hAnsi="Times New Roman"/>
          <w:sz w:val="28"/>
          <w:szCs w:val="28"/>
          <w:lang w:eastAsia="ru-RU"/>
        </w:rPr>
        <w:t>16,9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84097C">
        <w:rPr>
          <w:rFonts w:ascii="Times New Roman" w:hAnsi="Times New Roman"/>
          <w:sz w:val="28"/>
          <w:szCs w:val="28"/>
          <w:lang w:eastAsia="ru-RU"/>
        </w:rPr>
        <w:t>2020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84097C">
        <w:rPr>
          <w:rFonts w:ascii="Times New Roman" w:hAnsi="Times New Roman"/>
          <w:sz w:val="28"/>
          <w:szCs w:val="28"/>
          <w:lang w:eastAsia="ru-RU"/>
        </w:rPr>
        <w:t>принято 5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Последние </w:t>
      </w:r>
      <w:r w:rsidR="0084097C">
        <w:rPr>
          <w:rFonts w:ascii="Times New Roman" w:hAnsi="Times New Roman"/>
          <w:sz w:val="28"/>
          <w:szCs w:val="28"/>
          <w:lang w:eastAsia="ru-RU"/>
        </w:rPr>
        <w:t>поправки в бюджет были внесены 24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84097C">
        <w:rPr>
          <w:rFonts w:ascii="Times New Roman" w:hAnsi="Times New Roman"/>
          <w:sz w:val="28"/>
          <w:szCs w:val="28"/>
          <w:lang w:eastAsia="ru-RU"/>
        </w:rPr>
        <w:t>2020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е доходы утверждены в объеме – </w:t>
      </w:r>
      <w:r w:rsidR="0084097C">
        <w:rPr>
          <w:rFonts w:ascii="Times New Roman" w:hAnsi="Times New Roman"/>
          <w:sz w:val="28"/>
          <w:szCs w:val="28"/>
          <w:lang w:eastAsia="ru-RU"/>
        </w:rPr>
        <w:t>9364,1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тыс. рублей, расходы – </w:t>
      </w:r>
      <w:r w:rsidR="0084097C">
        <w:rPr>
          <w:rFonts w:ascii="Times New Roman" w:hAnsi="Times New Roman"/>
          <w:sz w:val="28"/>
          <w:szCs w:val="28"/>
          <w:lang w:eastAsia="ru-RU"/>
        </w:rPr>
        <w:t>9392,2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84097C">
        <w:rPr>
          <w:rFonts w:ascii="Times New Roman" w:hAnsi="Times New Roman"/>
          <w:sz w:val="28"/>
          <w:szCs w:val="28"/>
          <w:lang w:eastAsia="ru-RU"/>
        </w:rPr>
        <w:t>28,1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84097C">
        <w:rPr>
          <w:rFonts w:ascii="Times New Roman" w:hAnsi="Times New Roman"/>
          <w:sz w:val="28"/>
          <w:szCs w:val="28"/>
        </w:rPr>
        <w:t>2020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1984"/>
        <w:gridCol w:w="1276"/>
        <w:gridCol w:w="1395"/>
        <w:gridCol w:w="2007"/>
      </w:tblGrid>
      <w:tr w:rsidR="00DD0CF8" w:rsidRPr="00DD0CF8" w:rsidTr="005E0A95">
        <w:tc>
          <w:tcPr>
            <w:tcW w:w="3114" w:type="dxa"/>
            <w:shd w:val="clear" w:color="auto" w:fill="auto"/>
          </w:tcPr>
          <w:p w:rsidR="00DD0CF8" w:rsidRPr="00DD0CF8" w:rsidRDefault="00DD0CF8" w:rsidP="005E0A95">
            <w:pPr>
              <w:tabs>
                <w:tab w:val="center" w:pos="5032"/>
              </w:tabs>
              <w:spacing w:line="240" w:lineRule="auto"/>
              <w:ind w:right="430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984" w:type="dxa"/>
            <w:shd w:val="clear" w:color="auto" w:fill="auto"/>
          </w:tcPr>
          <w:p w:rsidR="00DD0CF8" w:rsidRPr="00DD0CF8" w:rsidRDefault="00DD0CF8" w:rsidP="0084097C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84097C">
              <w:rPr>
                <w:rFonts w:ascii="Times New Roman" w:hAnsi="Times New Roman"/>
              </w:rPr>
              <w:t>2020</w:t>
            </w:r>
            <w:r w:rsidRPr="00DD0CF8">
              <w:rPr>
                <w:rFonts w:ascii="Times New Roman" w:hAnsi="Times New Roman"/>
              </w:rPr>
              <w:t xml:space="preserve"> год Решение от </w:t>
            </w:r>
            <w:r w:rsidR="0084097C">
              <w:rPr>
                <w:rFonts w:ascii="Times New Roman" w:hAnsi="Times New Roman"/>
              </w:rPr>
              <w:t>24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84097C">
              <w:rPr>
                <w:rFonts w:ascii="Times New Roman" w:hAnsi="Times New Roman"/>
              </w:rPr>
              <w:t>2020г. № 18</w:t>
            </w:r>
          </w:p>
        </w:tc>
        <w:tc>
          <w:tcPr>
            <w:tcW w:w="1276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84097C">
              <w:rPr>
                <w:rFonts w:ascii="Times New Roman" w:hAnsi="Times New Roman"/>
              </w:rPr>
              <w:t>2020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2007" w:type="dxa"/>
            <w:shd w:val="clear" w:color="auto" w:fill="auto"/>
          </w:tcPr>
          <w:p w:rsidR="00DD0CF8" w:rsidRPr="00DD0CF8" w:rsidRDefault="00DD0CF8" w:rsidP="005E0A95">
            <w:pPr>
              <w:tabs>
                <w:tab w:val="center" w:pos="5032"/>
              </w:tabs>
              <w:spacing w:line="240" w:lineRule="auto"/>
              <w:ind w:left="-85" w:right="-108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84097C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5E0A95">
        <w:trPr>
          <w:trHeight w:val="403"/>
        </w:trPr>
        <w:tc>
          <w:tcPr>
            <w:tcW w:w="3114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984" w:type="dxa"/>
            <w:shd w:val="clear" w:color="auto" w:fill="auto"/>
          </w:tcPr>
          <w:p w:rsidR="00DD0CF8" w:rsidRPr="00DD0CF8" w:rsidRDefault="0084097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367,0</w:t>
            </w:r>
          </w:p>
        </w:tc>
        <w:tc>
          <w:tcPr>
            <w:tcW w:w="1276" w:type="dxa"/>
            <w:shd w:val="clear" w:color="auto" w:fill="auto"/>
          </w:tcPr>
          <w:p w:rsidR="00DD0CF8" w:rsidRPr="00DD0CF8" w:rsidRDefault="00D7503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7503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</w:t>
            </w:r>
          </w:p>
        </w:tc>
        <w:tc>
          <w:tcPr>
            <w:tcW w:w="2007" w:type="dxa"/>
            <w:shd w:val="clear" w:color="auto" w:fill="auto"/>
          </w:tcPr>
          <w:p w:rsidR="00DD0CF8" w:rsidRPr="00DD0CF8" w:rsidRDefault="00D7503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104,0</w:t>
            </w:r>
          </w:p>
        </w:tc>
      </w:tr>
      <w:tr w:rsidR="00DD0CF8" w:rsidRPr="00DD0CF8" w:rsidTr="005E0A95">
        <w:tc>
          <w:tcPr>
            <w:tcW w:w="3114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984" w:type="dxa"/>
            <w:shd w:val="clear" w:color="auto" w:fill="auto"/>
          </w:tcPr>
          <w:p w:rsidR="00DD0CF8" w:rsidRPr="00DD0CF8" w:rsidRDefault="0084097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8997,1</w:t>
            </w:r>
          </w:p>
        </w:tc>
        <w:tc>
          <w:tcPr>
            <w:tcW w:w="1276" w:type="dxa"/>
            <w:shd w:val="clear" w:color="auto" w:fill="auto"/>
          </w:tcPr>
          <w:p w:rsidR="00DD0CF8" w:rsidRPr="00DD0CF8" w:rsidRDefault="00D7503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8862,8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7503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95,9</w:t>
            </w:r>
          </w:p>
        </w:tc>
        <w:tc>
          <w:tcPr>
            <w:tcW w:w="2007" w:type="dxa"/>
            <w:shd w:val="clear" w:color="auto" w:fill="auto"/>
          </w:tcPr>
          <w:p w:rsidR="00DD0CF8" w:rsidRPr="00DD0CF8" w:rsidRDefault="00D7503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98,5</w:t>
            </w:r>
          </w:p>
        </w:tc>
      </w:tr>
      <w:tr w:rsidR="00DD0CF8" w:rsidRPr="00DD0CF8" w:rsidTr="005E0A95">
        <w:tc>
          <w:tcPr>
            <w:tcW w:w="3114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984" w:type="dxa"/>
            <w:shd w:val="clear" w:color="auto" w:fill="auto"/>
          </w:tcPr>
          <w:p w:rsidR="00DD0CF8" w:rsidRPr="00DD0CF8" w:rsidRDefault="0084097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9364,1</w:t>
            </w:r>
          </w:p>
        </w:tc>
        <w:tc>
          <w:tcPr>
            <w:tcW w:w="1276" w:type="dxa"/>
            <w:shd w:val="clear" w:color="auto" w:fill="auto"/>
          </w:tcPr>
          <w:p w:rsidR="00DD0CF8" w:rsidRPr="00DD0CF8" w:rsidRDefault="00D7503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9244,3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07" w:type="dxa"/>
            <w:shd w:val="clear" w:color="auto" w:fill="auto"/>
          </w:tcPr>
          <w:p w:rsidR="00DD0CF8" w:rsidRPr="00DD0CF8" w:rsidRDefault="00D7503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98,7</w:t>
            </w:r>
          </w:p>
        </w:tc>
      </w:tr>
      <w:tr w:rsidR="00DD0CF8" w:rsidRPr="00DD0CF8" w:rsidTr="005E0A95">
        <w:tc>
          <w:tcPr>
            <w:tcW w:w="3114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984" w:type="dxa"/>
            <w:shd w:val="clear" w:color="auto" w:fill="auto"/>
          </w:tcPr>
          <w:p w:rsidR="00DD0CF8" w:rsidRPr="00DD0CF8" w:rsidRDefault="0084097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9392,2</w:t>
            </w:r>
          </w:p>
        </w:tc>
        <w:tc>
          <w:tcPr>
            <w:tcW w:w="1276" w:type="dxa"/>
            <w:shd w:val="clear" w:color="auto" w:fill="auto"/>
          </w:tcPr>
          <w:p w:rsidR="00DD0CF8" w:rsidRPr="00DD0CF8" w:rsidRDefault="00D7503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9087,0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2007" w:type="dxa"/>
            <w:shd w:val="clear" w:color="auto" w:fill="auto"/>
          </w:tcPr>
          <w:p w:rsidR="00DD0CF8" w:rsidRPr="00DD0CF8" w:rsidRDefault="00D7503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96,8</w:t>
            </w:r>
          </w:p>
        </w:tc>
      </w:tr>
      <w:tr w:rsidR="00DD0CF8" w:rsidRPr="00DD0CF8" w:rsidTr="005E0A95">
        <w:tc>
          <w:tcPr>
            <w:tcW w:w="3114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984" w:type="dxa"/>
            <w:shd w:val="clear" w:color="auto" w:fill="auto"/>
          </w:tcPr>
          <w:p w:rsidR="00DD0CF8" w:rsidRPr="00DD0CF8" w:rsidRDefault="0084097C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-28,1</w:t>
            </w:r>
          </w:p>
        </w:tc>
        <w:tc>
          <w:tcPr>
            <w:tcW w:w="1276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2007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5E0A95">
        <w:tc>
          <w:tcPr>
            <w:tcW w:w="3114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984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DD0CF8" w:rsidRPr="00DD0CF8" w:rsidRDefault="00D75036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+157,3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2007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84097C">
        <w:rPr>
          <w:rFonts w:ascii="Times New Roman" w:hAnsi="Times New Roman"/>
          <w:kern w:val="1"/>
          <w:sz w:val="28"/>
          <w:szCs w:val="28"/>
        </w:rPr>
        <w:t>2020</w:t>
      </w:r>
      <w:r>
        <w:rPr>
          <w:rFonts w:ascii="Times New Roman" w:hAnsi="Times New Roman"/>
          <w:kern w:val="1"/>
          <w:sz w:val="28"/>
          <w:szCs w:val="28"/>
        </w:rPr>
        <w:t xml:space="preserve"> го</w:t>
      </w:r>
      <w:r w:rsidR="0085069B">
        <w:rPr>
          <w:rFonts w:ascii="Times New Roman" w:hAnsi="Times New Roman"/>
          <w:kern w:val="1"/>
          <w:sz w:val="28"/>
          <w:szCs w:val="28"/>
        </w:rPr>
        <w:t xml:space="preserve">д исполнен по доходам в сумме </w:t>
      </w:r>
      <w:r w:rsidR="00D75036">
        <w:rPr>
          <w:rFonts w:ascii="Times New Roman" w:hAnsi="Times New Roman"/>
          <w:kern w:val="1"/>
          <w:sz w:val="28"/>
          <w:szCs w:val="28"/>
        </w:rPr>
        <w:t>9244,3 тыс. рублей или на 104,0</w:t>
      </w:r>
      <w:r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D75036">
        <w:rPr>
          <w:rFonts w:ascii="Times New Roman" w:hAnsi="Times New Roman"/>
          <w:kern w:val="1"/>
          <w:sz w:val="28"/>
          <w:szCs w:val="28"/>
        </w:rPr>
        <w:t>9087,0</w:t>
      </w:r>
      <w:r w:rsidR="0085069B">
        <w:rPr>
          <w:rFonts w:ascii="Times New Roman" w:hAnsi="Times New Roman"/>
          <w:kern w:val="1"/>
          <w:sz w:val="28"/>
          <w:szCs w:val="28"/>
        </w:rPr>
        <w:t xml:space="preserve"> тыс. рублей или 9</w:t>
      </w:r>
      <w:r w:rsidR="00D75036">
        <w:rPr>
          <w:rFonts w:ascii="Times New Roman" w:hAnsi="Times New Roman"/>
          <w:kern w:val="1"/>
          <w:sz w:val="28"/>
          <w:szCs w:val="28"/>
        </w:rPr>
        <w:t>6</w:t>
      </w:r>
      <w:r w:rsidR="0085069B">
        <w:rPr>
          <w:rFonts w:ascii="Times New Roman" w:hAnsi="Times New Roman"/>
          <w:kern w:val="1"/>
          <w:sz w:val="28"/>
          <w:szCs w:val="28"/>
        </w:rPr>
        <w:t>,8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1955A5">
        <w:rPr>
          <w:rFonts w:ascii="Times New Roman" w:hAnsi="Times New Roman"/>
          <w:kern w:val="1"/>
          <w:sz w:val="28"/>
          <w:szCs w:val="28"/>
        </w:rPr>
        <w:t>Тигинское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исполнен с профицитом в сумме </w:t>
      </w:r>
      <w:r w:rsidR="00D75036">
        <w:rPr>
          <w:rFonts w:ascii="Times New Roman" w:hAnsi="Times New Roman"/>
          <w:kern w:val="1"/>
          <w:sz w:val="28"/>
          <w:szCs w:val="28"/>
        </w:rPr>
        <w:t>157,3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1955A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84097C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1955A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84097C">
              <w:rPr>
                <w:rFonts w:ascii="Times New Roman" w:hAnsi="Times New Roman"/>
                <w:sz w:val="26"/>
                <w:szCs w:val="26"/>
                <w:lang w:eastAsia="ru-RU"/>
              </w:rPr>
              <w:t>2020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84097C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7882,1</w:t>
            </w:r>
          </w:p>
        </w:tc>
        <w:tc>
          <w:tcPr>
            <w:tcW w:w="3115" w:type="dxa"/>
          </w:tcPr>
          <w:p w:rsidR="004F7CB1" w:rsidRPr="00BD0CD3" w:rsidRDefault="00D75036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9244,3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84097C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338,0</w:t>
            </w:r>
          </w:p>
        </w:tc>
        <w:tc>
          <w:tcPr>
            <w:tcW w:w="3115" w:type="dxa"/>
          </w:tcPr>
          <w:p w:rsidR="004F7CB1" w:rsidRPr="00BD0CD3" w:rsidRDefault="00D75036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381,5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D75036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+43,5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84097C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7544,1</w:t>
            </w:r>
          </w:p>
        </w:tc>
        <w:tc>
          <w:tcPr>
            <w:tcW w:w="3115" w:type="dxa"/>
          </w:tcPr>
          <w:p w:rsidR="004F7CB1" w:rsidRPr="00BD0CD3" w:rsidRDefault="00D75036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8862,8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D75036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+1318,7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от утвержденного первоначального бюджета по итогам года, составляют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75036">
        <w:rPr>
          <w:rFonts w:ascii="Times New Roman" w:hAnsi="Times New Roman"/>
          <w:sz w:val="28"/>
          <w:szCs w:val="28"/>
          <w:lang w:eastAsia="ru-RU"/>
        </w:rPr>
        <w:t>43,5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D75036">
        <w:rPr>
          <w:rFonts w:ascii="Times New Roman" w:hAnsi="Times New Roman"/>
          <w:sz w:val="28"/>
          <w:szCs w:val="28"/>
          <w:lang w:eastAsia="ru-RU"/>
        </w:rPr>
        <w:t>381,5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D75036">
        <w:rPr>
          <w:rFonts w:ascii="Times New Roman" w:hAnsi="Times New Roman"/>
          <w:sz w:val="28"/>
          <w:szCs w:val="28"/>
          <w:lang w:eastAsia="ru-RU"/>
        </w:rPr>
        <w:t>7544,1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D75036">
        <w:rPr>
          <w:rFonts w:ascii="Times New Roman" w:hAnsi="Times New Roman"/>
          <w:sz w:val="28"/>
          <w:szCs w:val="28"/>
          <w:lang w:eastAsia="ru-RU"/>
        </w:rPr>
        <w:t>8862,8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за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097C">
        <w:rPr>
          <w:rFonts w:ascii="Times New Roman" w:hAnsi="Times New Roman"/>
          <w:sz w:val="28"/>
          <w:szCs w:val="28"/>
          <w:lang w:eastAsia="ru-RU"/>
        </w:rPr>
        <w:t>2020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D75036">
        <w:rPr>
          <w:rFonts w:ascii="Times New Roman" w:hAnsi="Times New Roman"/>
          <w:sz w:val="28"/>
          <w:szCs w:val="28"/>
          <w:lang w:eastAsia="ru-RU"/>
        </w:rPr>
        <w:t>381,5 тыс. рублей (104,0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уд</w:t>
      </w:r>
      <w:r w:rsidR="00B47C95">
        <w:rPr>
          <w:rFonts w:ascii="Times New Roman" w:hAnsi="Times New Roman"/>
          <w:sz w:val="28"/>
          <w:szCs w:val="28"/>
          <w:lang w:eastAsia="ru-RU"/>
        </w:rPr>
        <w:t xml:space="preserve">ельный вес в доходах бюджета </w:t>
      </w:r>
      <w:r w:rsidR="00D75036">
        <w:rPr>
          <w:rFonts w:ascii="Times New Roman" w:hAnsi="Times New Roman"/>
          <w:sz w:val="28"/>
          <w:szCs w:val="28"/>
          <w:lang w:eastAsia="ru-RU"/>
        </w:rPr>
        <w:t>4,1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1878"/>
        <w:gridCol w:w="1922"/>
        <w:gridCol w:w="1522"/>
        <w:gridCol w:w="1558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84097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84097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33,4</w:t>
            </w:r>
          </w:p>
        </w:tc>
        <w:tc>
          <w:tcPr>
            <w:tcW w:w="1522" w:type="dxa"/>
          </w:tcPr>
          <w:p w:rsidR="002570AB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8,8</w:t>
            </w:r>
          </w:p>
        </w:tc>
      </w:tr>
      <w:tr w:rsidR="00B47C95" w:rsidRPr="00BD0CD3" w:rsidTr="002570AB">
        <w:tc>
          <w:tcPr>
            <w:tcW w:w="2390" w:type="dxa"/>
            <w:shd w:val="clear" w:color="auto" w:fill="auto"/>
          </w:tcPr>
          <w:p w:rsidR="00B47C95" w:rsidRPr="00BD0CD3" w:rsidRDefault="00B47C95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1878" w:type="dxa"/>
          </w:tcPr>
          <w:p w:rsidR="00B47C95" w:rsidRPr="00BD0CD3" w:rsidRDefault="0084097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39,5</w:t>
            </w:r>
          </w:p>
        </w:tc>
        <w:tc>
          <w:tcPr>
            <w:tcW w:w="1960" w:type="dxa"/>
            <w:shd w:val="clear" w:color="auto" w:fill="auto"/>
          </w:tcPr>
          <w:p w:rsidR="00B47C95" w:rsidRPr="00BD0CD3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39,5</w:t>
            </w:r>
          </w:p>
        </w:tc>
        <w:tc>
          <w:tcPr>
            <w:tcW w:w="1522" w:type="dxa"/>
          </w:tcPr>
          <w:p w:rsidR="00B47C95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B47C95" w:rsidRPr="00BD0CD3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10,4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84097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39,0</w:t>
            </w:r>
          </w:p>
        </w:tc>
        <w:tc>
          <w:tcPr>
            <w:tcW w:w="1522" w:type="dxa"/>
          </w:tcPr>
          <w:p w:rsidR="002570AB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111,4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10,2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84097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47,0</w:t>
            </w:r>
          </w:p>
        </w:tc>
        <w:tc>
          <w:tcPr>
            <w:tcW w:w="1522" w:type="dxa"/>
          </w:tcPr>
          <w:p w:rsidR="002570AB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12,3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84097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204,3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214,1</w:t>
            </w:r>
          </w:p>
        </w:tc>
        <w:tc>
          <w:tcPr>
            <w:tcW w:w="1522" w:type="dxa"/>
          </w:tcPr>
          <w:p w:rsidR="002570AB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104,8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1878" w:type="dxa"/>
          </w:tcPr>
          <w:p w:rsidR="002570AB" w:rsidRPr="00BD0CD3" w:rsidRDefault="0084097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1522" w:type="dxa"/>
          </w:tcPr>
          <w:p w:rsidR="002570AB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1,1</w:t>
            </w:r>
          </w:p>
        </w:tc>
      </w:tr>
      <w:tr w:rsidR="00B47C95" w:rsidRPr="00BD0CD3" w:rsidTr="002570AB">
        <w:tc>
          <w:tcPr>
            <w:tcW w:w="2390" w:type="dxa"/>
            <w:shd w:val="clear" w:color="auto" w:fill="auto"/>
          </w:tcPr>
          <w:p w:rsidR="00B47C95" w:rsidRPr="00BD0CD3" w:rsidRDefault="00B47C95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использования имущества</w:t>
            </w:r>
          </w:p>
        </w:tc>
        <w:tc>
          <w:tcPr>
            <w:tcW w:w="1878" w:type="dxa"/>
          </w:tcPr>
          <w:p w:rsidR="00B47C95" w:rsidRDefault="0084097C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4,2</w:t>
            </w:r>
          </w:p>
        </w:tc>
        <w:tc>
          <w:tcPr>
            <w:tcW w:w="1960" w:type="dxa"/>
            <w:shd w:val="clear" w:color="auto" w:fill="auto"/>
          </w:tcPr>
          <w:p w:rsidR="00B47C95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4,2</w:t>
            </w:r>
          </w:p>
        </w:tc>
        <w:tc>
          <w:tcPr>
            <w:tcW w:w="1522" w:type="dxa"/>
          </w:tcPr>
          <w:p w:rsidR="00B47C95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B47C95" w:rsidRPr="00BD0CD3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84097C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75036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381,5</w:t>
            </w:r>
          </w:p>
        </w:tc>
        <w:tc>
          <w:tcPr>
            <w:tcW w:w="1522" w:type="dxa"/>
          </w:tcPr>
          <w:p w:rsidR="002570AB" w:rsidRPr="00BD0CD3" w:rsidRDefault="00D75036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104,0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84097C">
        <w:rPr>
          <w:rFonts w:ascii="Times New Roman" w:hAnsi="Times New Roman"/>
          <w:sz w:val="28"/>
          <w:szCs w:val="28"/>
        </w:rPr>
        <w:t>2020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D75036">
        <w:rPr>
          <w:rFonts w:ascii="Times New Roman" w:hAnsi="Times New Roman"/>
          <w:sz w:val="28"/>
          <w:szCs w:val="28"/>
        </w:rPr>
        <w:t xml:space="preserve"> 8862,8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B47C95">
        <w:rPr>
          <w:rFonts w:ascii="Times New Roman" w:hAnsi="Times New Roman"/>
          <w:sz w:val="28"/>
          <w:szCs w:val="28"/>
        </w:rPr>
        <w:t xml:space="preserve">тыс. рублей или </w:t>
      </w:r>
      <w:r w:rsidR="00D75036">
        <w:rPr>
          <w:rFonts w:ascii="Times New Roman" w:hAnsi="Times New Roman"/>
          <w:sz w:val="28"/>
          <w:szCs w:val="28"/>
        </w:rPr>
        <w:t>98,5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D75036">
        <w:rPr>
          <w:rFonts w:ascii="Times New Roman" w:hAnsi="Times New Roman"/>
          <w:sz w:val="28"/>
          <w:szCs w:val="28"/>
        </w:rPr>
        <w:t>составил 95,9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B47C95">
        <w:rPr>
          <w:rFonts w:ascii="Times New Roman" w:hAnsi="Times New Roman"/>
          <w:sz w:val="28"/>
          <w:szCs w:val="28"/>
        </w:rPr>
        <w:t xml:space="preserve">– </w:t>
      </w:r>
      <w:r w:rsidR="00D75036">
        <w:rPr>
          <w:rFonts w:ascii="Times New Roman" w:hAnsi="Times New Roman"/>
          <w:sz w:val="28"/>
          <w:szCs w:val="28"/>
        </w:rPr>
        <w:t>2806,2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B47C95">
        <w:rPr>
          <w:rFonts w:ascii="Times New Roman" w:hAnsi="Times New Roman"/>
          <w:sz w:val="28"/>
          <w:szCs w:val="28"/>
        </w:rPr>
        <w:t xml:space="preserve">– </w:t>
      </w:r>
      <w:r w:rsidR="00D75036">
        <w:rPr>
          <w:rFonts w:ascii="Times New Roman" w:hAnsi="Times New Roman"/>
          <w:sz w:val="28"/>
          <w:szCs w:val="28"/>
        </w:rPr>
        <w:t>2816,1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414ED" w:rsidRPr="00D414ED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</w:t>
      </w:r>
      <w:r w:rsidR="00B47C95">
        <w:rPr>
          <w:rFonts w:ascii="Times New Roman" w:hAnsi="Times New Roman"/>
          <w:sz w:val="28"/>
          <w:szCs w:val="28"/>
        </w:rPr>
        <w:t xml:space="preserve">их поселений – </w:t>
      </w:r>
      <w:r w:rsidR="00D75036">
        <w:rPr>
          <w:rFonts w:ascii="Times New Roman" w:hAnsi="Times New Roman"/>
          <w:sz w:val="28"/>
          <w:szCs w:val="28"/>
        </w:rPr>
        <w:t>1526,8 тыс. рублей или 91,2</w:t>
      </w:r>
      <w:r w:rsidR="00D414ED"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3731E9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3731E9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3731E9">
        <w:rPr>
          <w:rFonts w:ascii="Times New Roman" w:hAnsi="Times New Roman"/>
          <w:sz w:val="28"/>
          <w:szCs w:val="28"/>
        </w:rPr>
        <w:t>2,0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3731E9">
        <w:rPr>
          <w:rFonts w:ascii="Times New Roman" w:hAnsi="Times New Roman"/>
          <w:sz w:val="28"/>
          <w:szCs w:val="28"/>
        </w:rPr>
        <w:t>аты в размере 93,5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3731E9">
        <w:rPr>
          <w:rFonts w:ascii="Times New Roman" w:hAnsi="Times New Roman"/>
          <w:sz w:val="28"/>
          <w:szCs w:val="28"/>
        </w:rPr>
        <w:t>– 1008,0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="00B47C95">
        <w:rPr>
          <w:rFonts w:ascii="Times New Roman" w:hAnsi="Times New Roman"/>
          <w:sz w:val="28"/>
          <w:szCs w:val="28"/>
        </w:rPr>
        <w:t xml:space="preserve">или </w:t>
      </w:r>
      <w:r w:rsidR="003731E9">
        <w:rPr>
          <w:rFonts w:ascii="Times New Roman" w:hAnsi="Times New Roman"/>
          <w:sz w:val="28"/>
          <w:szCs w:val="28"/>
        </w:rPr>
        <w:t>100</w:t>
      </w:r>
      <w:r w:rsidR="00AF45C7">
        <w:rPr>
          <w:rFonts w:ascii="Times New Roman" w:hAnsi="Times New Roman"/>
          <w:sz w:val="28"/>
          <w:szCs w:val="28"/>
        </w:rPr>
        <w:t xml:space="preserve">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B47C95">
        <w:rPr>
          <w:rFonts w:ascii="Times New Roman" w:hAnsi="Times New Roman"/>
          <w:sz w:val="28"/>
          <w:szCs w:val="28"/>
        </w:rPr>
        <w:t xml:space="preserve">жетам сельских поселений – </w:t>
      </w:r>
      <w:r w:rsidR="003731E9">
        <w:rPr>
          <w:rFonts w:ascii="Times New Roman" w:hAnsi="Times New Roman"/>
          <w:sz w:val="28"/>
          <w:szCs w:val="28"/>
        </w:rPr>
        <w:t>653,5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AF45C7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3731E9">
        <w:rPr>
          <w:rFonts w:ascii="Times New Roman" w:hAnsi="Times New Roman"/>
          <w:sz w:val="28"/>
          <w:szCs w:val="28"/>
          <w:lang w:eastAsia="ar-SA"/>
        </w:rPr>
        <w:t xml:space="preserve"> – 91,0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1955A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84097C">
        <w:rPr>
          <w:rFonts w:ascii="Times New Roman" w:hAnsi="Times New Roman"/>
          <w:b/>
          <w:sz w:val="28"/>
          <w:szCs w:val="28"/>
          <w:lang w:eastAsia="ru-RU"/>
        </w:rPr>
        <w:t>2020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84097C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84097C">
        <w:rPr>
          <w:rFonts w:ascii="Times New Roman" w:hAnsi="Times New Roman"/>
          <w:sz w:val="28"/>
          <w:szCs w:val="28"/>
          <w:lang w:eastAsia="ru-RU"/>
        </w:rPr>
        <w:t>7899,0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84097C">
        <w:rPr>
          <w:rFonts w:ascii="Times New Roman" w:hAnsi="Times New Roman"/>
          <w:sz w:val="28"/>
          <w:szCs w:val="28"/>
          <w:lang w:eastAsia="ru-RU"/>
        </w:rPr>
        <w:t>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84097C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84097C">
        <w:rPr>
          <w:rFonts w:ascii="Times New Roman" w:hAnsi="Times New Roman"/>
          <w:sz w:val="28"/>
          <w:szCs w:val="28"/>
          <w:lang w:eastAsia="ru-RU"/>
        </w:rPr>
        <w:t>9392,2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84097C">
        <w:rPr>
          <w:rFonts w:ascii="Times New Roman" w:hAnsi="Times New Roman"/>
          <w:sz w:val="28"/>
          <w:szCs w:val="28"/>
          <w:lang w:eastAsia="ru-RU"/>
        </w:rPr>
        <w:t>1493,2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84097C">
        <w:rPr>
          <w:rFonts w:ascii="Times New Roman" w:hAnsi="Times New Roman"/>
          <w:sz w:val="28"/>
          <w:szCs w:val="28"/>
          <w:lang w:eastAsia="ru-RU"/>
        </w:rPr>
        <w:t>18,9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EA4B0A">
        <w:rPr>
          <w:rFonts w:ascii="Times New Roman" w:hAnsi="Times New Roman"/>
          <w:sz w:val="28"/>
          <w:szCs w:val="28"/>
          <w:lang w:eastAsia="ru-RU"/>
        </w:rPr>
        <w:t>9087,0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тыс. рублей, </w:t>
      </w:r>
      <w:r w:rsidR="00EA4B0A">
        <w:rPr>
          <w:rFonts w:ascii="Times New Roman" w:hAnsi="Times New Roman"/>
          <w:sz w:val="28"/>
          <w:szCs w:val="28"/>
          <w:lang w:eastAsia="ru-RU"/>
        </w:rPr>
        <w:t>что составляет 96</w:t>
      </w:r>
      <w:r w:rsidR="002D7C0C">
        <w:rPr>
          <w:rFonts w:ascii="Times New Roman" w:hAnsi="Times New Roman"/>
          <w:sz w:val="28"/>
          <w:szCs w:val="28"/>
          <w:lang w:eastAsia="ru-RU"/>
        </w:rPr>
        <w:t>,8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64"/>
        <w:gridCol w:w="1810"/>
        <w:gridCol w:w="2006"/>
        <w:gridCol w:w="1806"/>
      </w:tblGrid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84097C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</w:t>
            </w:r>
            <w:bookmarkStart w:id="0" w:name="_GoBack"/>
            <w:bookmarkEnd w:id="0"/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ые ф.05023117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3686,0</w:t>
            </w:r>
          </w:p>
        </w:tc>
        <w:tc>
          <w:tcPr>
            <w:tcW w:w="2006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4427,2</w:t>
            </w:r>
          </w:p>
        </w:tc>
        <w:tc>
          <w:tcPr>
            <w:tcW w:w="1806" w:type="dxa"/>
          </w:tcPr>
          <w:p w:rsidR="007F7EE8" w:rsidRPr="00970812" w:rsidRDefault="00EA4B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4359,6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93,2</w:t>
            </w:r>
          </w:p>
        </w:tc>
        <w:tc>
          <w:tcPr>
            <w:tcW w:w="2006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98,8</w:t>
            </w:r>
          </w:p>
        </w:tc>
        <w:tc>
          <w:tcPr>
            <w:tcW w:w="1806" w:type="dxa"/>
          </w:tcPr>
          <w:p w:rsidR="007F7EE8" w:rsidRPr="00970812" w:rsidRDefault="00EA4B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98,8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006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204,0</w:t>
            </w:r>
          </w:p>
        </w:tc>
        <w:tc>
          <w:tcPr>
            <w:tcW w:w="1806" w:type="dxa"/>
          </w:tcPr>
          <w:p w:rsidR="007F7EE8" w:rsidRPr="00970812" w:rsidRDefault="00EA4B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204,0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1009,8</w:t>
            </w:r>
          </w:p>
        </w:tc>
        <w:tc>
          <w:tcPr>
            <w:tcW w:w="2006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1009,8</w:t>
            </w:r>
          </w:p>
        </w:tc>
        <w:tc>
          <w:tcPr>
            <w:tcW w:w="1806" w:type="dxa"/>
          </w:tcPr>
          <w:p w:rsidR="007F7EE8" w:rsidRPr="00970812" w:rsidRDefault="00EA4B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1009,7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1130,0</w:t>
            </w:r>
          </w:p>
        </w:tc>
        <w:tc>
          <w:tcPr>
            <w:tcW w:w="2006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1792,7</w:t>
            </w:r>
          </w:p>
        </w:tc>
        <w:tc>
          <w:tcPr>
            <w:tcW w:w="1806" w:type="dxa"/>
          </w:tcPr>
          <w:p w:rsidR="007F7EE8" w:rsidRPr="00970812" w:rsidRDefault="00EA4B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1555,2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006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06" w:type="dxa"/>
          </w:tcPr>
          <w:p w:rsidR="007F7EE8" w:rsidRPr="00970812" w:rsidRDefault="00EA4B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1232,0</w:t>
            </w:r>
          </w:p>
        </w:tc>
        <w:tc>
          <w:tcPr>
            <w:tcW w:w="2006" w:type="dxa"/>
          </w:tcPr>
          <w:p w:rsidR="0066588B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1232,0</w:t>
            </w:r>
          </w:p>
        </w:tc>
        <w:tc>
          <w:tcPr>
            <w:tcW w:w="1806" w:type="dxa"/>
          </w:tcPr>
          <w:p w:rsidR="007F7EE8" w:rsidRPr="00970812" w:rsidRDefault="00EA4B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1232,0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602,7</w:t>
            </w:r>
          </w:p>
        </w:tc>
        <w:tc>
          <w:tcPr>
            <w:tcW w:w="2006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602,7</w:t>
            </w:r>
          </w:p>
        </w:tc>
        <w:tc>
          <w:tcPr>
            <w:tcW w:w="1806" w:type="dxa"/>
          </w:tcPr>
          <w:p w:rsidR="007F7EE8" w:rsidRPr="00970812" w:rsidRDefault="00EA4B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602,7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2006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06" w:type="dxa"/>
          </w:tcPr>
          <w:p w:rsidR="007F7EE8" w:rsidRPr="00970812" w:rsidRDefault="00EA4B0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F7EE8" w:rsidRPr="00970812" w:rsidTr="00C578C2">
        <w:tc>
          <w:tcPr>
            <w:tcW w:w="396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7899,0</w:t>
            </w:r>
          </w:p>
        </w:tc>
        <w:tc>
          <w:tcPr>
            <w:tcW w:w="2006" w:type="dxa"/>
          </w:tcPr>
          <w:p w:rsidR="007F7EE8" w:rsidRPr="00970812" w:rsidRDefault="0084097C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9392,2</w:t>
            </w:r>
          </w:p>
        </w:tc>
        <w:tc>
          <w:tcPr>
            <w:tcW w:w="1806" w:type="dxa"/>
          </w:tcPr>
          <w:p w:rsidR="007F7EE8" w:rsidRPr="00970812" w:rsidRDefault="00EA4B0A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9087,0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EA4B0A">
        <w:rPr>
          <w:rFonts w:ascii="Times New Roman" w:hAnsi="Times New Roman"/>
          <w:sz w:val="28"/>
          <w:szCs w:val="28"/>
          <w:lang w:eastAsia="ru-RU"/>
        </w:rPr>
        <w:t>4359,6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EA4B0A">
        <w:rPr>
          <w:rFonts w:ascii="Times New Roman" w:hAnsi="Times New Roman"/>
          <w:sz w:val="28"/>
          <w:szCs w:val="28"/>
          <w:lang w:eastAsia="ru-RU"/>
        </w:rPr>
        <w:t>67,6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EA4B0A">
        <w:rPr>
          <w:rFonts w:ascii="Times New Roman" w:hAnsi="Times New Roman"/>
          <w:sz w:val="28"/>
          <w:szCs w:val="28"/>
          <w:lang w:eastAsia="ru-RU"/>
        </w:rPr>
        <w:t>98,5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EA4B0A">
        <w:rPr>
          <w:rFonts w:ascii="Times New Roman" w:hAnsi="Times New Roman"/>
          <w:sz w:val="28"/>
          <w:szCs w:val="28"/>
          <w:lang w:eastAsia="ru-RU"/>
        </w:rPr>
        <w:t>98,8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EA4B0A">
        <w:rPr>
          <w:rFonts w:ascii="Times New Roman" w:hAnsi="Times New Roman"/>
          <w:sz w:val="28"/>
          <w:szCs w:val="28"/>
          <w:lang w:eastAsia="ru-RU"/>
        </w:rPr>
        <w:t>204,0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lastRenderedPageBreak/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EA4B0A">
        <w:rPr>
          <w:rFonts w:ascii="Times New Roman" w:hAnsi="Times New Roman"/>
          <w:sz w:val="28"/>
          <w:szCs w:val="28"/>
          <w:lang w:eastAsia="ru-RU"/>
        </w:rPr>
        <w:t>1009,7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2D7C0C">
        <w:rPr>
          <w:rFonts w:ascii="Times New Roman" w:hAnsi="Times New Roman"/>
          <w:sz w:val="28"/>
          <w:szCs w:val="28"/>
          <w:lang w:eastAsia="ru-RU"/>
        </w:rPr>
        <w:t xml:space="preserve"> или меньше на 0,</w:t>
      </w:r>
      <w:r w:rsidR="00EA4B0A">
        <w:rPr>
          <w:rFonts w:ascii="Times New Roman" w:hAnsi="Times New Roman"/>
          <w:sz w:val="28"/>
          <w:szCs w:val="28"/>
          <w:lang w:eastAsia="ru-RU"/>
        </w:rPr>
        <w:t>1</w:t>
      </w:r>
      <w:r w:rsidR="002D7C0C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2D7C0C">
        <w:rPr>
          <w:rFonts w:ascii="Times New Roman" w:hAnsi="Times New Roman"/>
          <w:sz w:val="28"/>
          <w:szCs w:val="28"/>
          <w:lang w:eastAsia="ru-RU"/>
        </w:rPr>
        <w:t>99,9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EA4B0A">
        <w:rPr>
          <w:rFonts w:ascii="Times New Roman" w:hAnsi="Times New Roman"/>
          <w:sz w:val="28"/>
          <w:szCs w:val="28"/>
          <w:lang w:eastAsia="ru-RU"/>
        </w:rPr>
        <w:t>1555,2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EA4B0A">
        <w:rPr>
          <w:rFonts w:ascii="Times New Roman" w:hAnsi="Times New Roman"/>
          <w:sz w:val="28"/>
          <w:szCs w:val="28"/>
          <w:lang w:eastAsia="ru-RU"/>
        </w:rPr>
        <w:t xml:space="preserve"> или меньше на 237,5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EA4B0A">
        <w:rPr>
          <w:rFonts w:ascii="Times New Roman" w:hAnsi="Times New Roman"/>
          <w:sz w:val="28"/>
          <w:szCs w:val="28"/>
          <w:lang w:eastAsia="ru-RU"/>
        </w:rPr>
        <w:t>86,8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2D7C0C">
        <w:rPr>
          <w:rFonts w:ascii="Times New Roman" w:hAnsi="Times New Roman"/>
          <w:sz w:val="28"/>
          <w:szCs w:val="28"/>
          <w:lang w:eastAsia="ru-RU"/>
        </w:rPr>
        <w:t>рафия – 1</w:t>
      </w:r>
      <w:r w:rsidR="00EA4B0A">
        <w:rPr>
          <w:rFonts w:ascii="Times New Roman" w:hAnsi="Times New Roman"/>
          <w:sz w:val="28"/>
          <w:szCs w:val="28"/>
          <w:lang w:eastAsia="ru-RU"/>
        </w:rPr>
        <w:t>232</w:t>
      </w:r>
      <w:r w:rsidR="002D7C0C">
        <w:rPr>
          <w:rFonts w:ascii="Times New Roman" w:hAnsi="Times New Roman"/>
          <w:sz w:val="28"/>
          <w:szCs w:val="28"/>
          <w:lang w:eastAsia="ru-RU"/>
        </w:rPr>
        <w:t>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7C0C">
        <w:rPr>
          <w:rFonts w:ascii="Times New Roman" w:hAnsi="Times New Roman"/>
          <w:sz w:val="28"/>
          <w:szCs w:val="28"/>
          <w:lang w:eastAsia="ru-RU"/>
        </w:rPr>
        <w:t xml:space="preserve">тыс. рублей, выполнение (100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2D7C0C">
        <w:rPr>
          <w:rFonts w:ascii="Times New Roman" w:hAnsi="Times New Roman"/>
          <w:sz w:val="28"/>
          <w:szCs w:val="28"/>
          <w:lang w:eastAsia="ru-RU"/>
        </w:rPr>
        <w:t>602,7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AD4E73">
        <w:rPr>
          <w:rFonts w:ascii="Times New Roman" w:hAnsi="Times New Roman"/>
          <w:sz w:val="28"/>
          <w:szCs w:val="28"/>
          <w:lang w:eastAsia="ru-RU"/>
        </w:rPr>
        <w:t>лей</w:t>
      </w:r>
      <w:r w:rsidR="002D7C0C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2D7C0C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4B0A">
        <w:rPr>
          <w:rFonts w:ascii="Times New Roman" w:hAnsi="Times New Roman"/>
          <w:sz w:val="28"/>
          <w:szCs w:val="28"/>
          <w:lang w:eastAsia="ru-RU"/>
        </w:rPr>
        <w:t>25,0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EA4B0A">
        <w:rPr>
          <w:rFonts w:ascii="Times New Roman" w:hAnsi="Times New Roman"/>
          <w:sz w:val="28"/>
          <w:szCs w:val="28"/>
          <w:lang w:eastAsia="ru-RU"/>
        </w:rPr>
        <w:t>юджета исполнена на 96</w:t>
      </w:r>
      <w:r w:rsidR="00AD4E73">
        <w:rPr>
          <w:rFonts w:ascii="Times New Roman" w:hAnsi="Times New Roman"/>
          <w:sz w:val="28"/>
          <w:szCs w:val="28"/>
          <w:lang w:eastAsia="ru-RU"/>
        </w:rPr>
        <w:t>,</w:t>
      </w:r>
      <w:r w:rsidR="002D7C0C">
        <w:rPr>
          <w:rFonts w:ascii="Times New Roman" w:hAnsi="Times New Roman"/>
          <w:sz w:val="28"/>
          <w:szCs w:val="28"/>
          <w:lang w:eastAsia="ru-RU"/>
        </w:rPr>
        <w:t>8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84097C">
        <w:rPr>
          <w:rFonts w:ascii="Times New Roman" w:hAnsi="Times New Roman"/>
          <w:sz w:val="28"/>
          <w:szCs w:val="28"/>
          <w:lang w:eastAsia="ru-RU"/>
        </w:rPr>
        <w:t>2020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1955A5">
        <w:rPr>
          <w:rFonts w:ascii="Times New Roman" w:hAnsi="Times New Roman"/>
          <w:bCs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84097C">
        <w:rPr>
          <w:rFonts w:ascii="Times New Roman" w:hAnsi="Times New Roman"/>
          <w:bCs/>
          <w:sz w:val="28"/>
          <w:szCs w:val="28"/>
          <w:lang w:eastAsia="ru-RU"/>
        </w:rPr>
        <w:t>2020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EA4B0A">
        <w:rPr>
          <w:rFonts w:ascii="Times New Roman" w:hAnsi="Times New Roman"/>
          <w:bCs/>
          <w:sz w:val="28"/>
          <w:szCs w:val="28"/>
          <w:lang w:eastAsia="ru-RU"/>
        </w:rPr>
        <w:t>9244,3 тыс. рублей (98,7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%). Процент по налоговым и не</w:t>
      </w:r>
      <w:r w:rsidR="00EA4B0A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104,0 %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EA4B0A">
        <w:rPr>
          <w:rFonts w:ascii="Times New Roman" w:hAnsi="Times New Roman"/>
          <w:bCs/>
          <w:sz w:val="28"/>
          <w:szCs w:val="28"/>
          <w:lang w:eastAsia="ru-RU"/>
        </w:rPr>
        <w:t>оселения исполнен в сумме 9087,0 тыс. рублей (96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>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 xml:space="preserve">ие осуществлено с профицитом </w:t>
      </w:r>
      <w:r w:rsidR="00EA4B0A">
        <w:rPr>
          <w:rFonts w:ascii="Times New Roman" w:hAnsi="Times New Roman"/>
          <w:bCs/>
          <w:sz w:val="28"/>
          <w:szCs w:val="28"/>
          <w:lang w:eastAsia="ru-RU"/>
        </w:rPr>
        <w:t>157,3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84097C">
        <w:rPr>
          <w:rFonts w:ascii="Times New Roman" w:hAnsi="Times New Roman"/>
          <w:sz w:val="28"/>
          <w:szCs w:val="28"/>
        </w:rPr>
        <w:t>2020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бюджета, однако имее</w:t>
      </w:r>
      <w:r w:rsidR="00AC413D" w:rsidRPr="00970812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замечание</w:t>
      </w:r>
      <w:r w:rsidR="00AC413D" w:rsidRPr="00970812">
        <w:rPr>
          <w:rFonts w:ascii="Times New Roman" w:hAnsi="Times New Roman"/>
          <w:sz w:val="28"/>
          <w:szCs w:val="28"/>
        </w:rPr>
        <w:t xml:space="preserve"> по проекту.</w:t>
      </w:r>
    </w:p>
    <w:p w:rsidR="00DC6FCC" w:rsidRDefault="00DC6FCC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приложении 3</w:t>
      </w:r>
      <w:r w:rsidR="008301C0">
        <w:rPr>
          <w:rFonts w:ascii="Times New Roman" w:hAnsi="Times New Roman"/>
          <w:sz w:val="28"/>
          <w:szCs w:val="28"/>
        </w:rPr>
        <w:t xml:space="preserve"> к решению</w:t>
      </w:r>
      <w:r>
        <w:rPr>
          <w:rFonts w:ascii="Times New Roman" w:hAnsi="Times New Roman"/>
          <w:sz w:val="28"/>
          <w:szCs w:val="28"/>
        </w:rPr>
        <w:t>:</w:t>
      </w:r>
    </w:p>
    <w:p w:rsidR="008301C0" w:rsidRDefault="00DC6FCC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строках «Национальная экономика»</w:t>
      </w:r>
      <w:r w:rsidR="00830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«Дорожное хозяйство (дорожные фонды)» в графе «Процент исполнения к годовому плану» </w:t>
      </w:r>
      <w:r w:rsidR="008301C0">
        <w:rPr>
          <w:rFonts w:ascii="Times New Roman" w:hAnsi="Times New Roman"/>
          <w:sz w:val="28"/>
          <w:szCs w:val="28"/>
        </w:rPr>
        <w:t>цифры «</w:t>
      </w:r>
      <w:r>
        <w:rPr>
          <w:rFonts w:ascii="Times New Roman" w:hAnsi="Times New Roman"/>
          <w:sz w:val="28"/>
          <w:szCs w:val="28"/>
        </w:rPr>
        <w:t>100</w:t>
      </w:r>
      <w:r w:rsidR="008301C0">
        <w:rPr>
          <w:rFonts w:ascii="Times New Roman" w:hAnsi="Times New Roman"/>
          <w:sz w:val="28"/>
          <w:szCs w:val="28"/>
        </w:rPr>
        <w:t>» заменить на циф</w:t>
      </w:r>
      <w:r>
        <w:rPr>
          <w:rFonts w:ascii="Times New Roman" w:hAnsi="Times New Roman"/>
          <w:sz w:val="28"/>
          <w:szCs w:val="28"/>
        </w:rPr>
        <w:t>ры «99,9</w:t>
      </w:r>
      <w:r w:rsidR="008301C0">
        <w:rPr>
          <w:rFonts w:ascii="Times New Roman" w:hAnsi="Times New Roman"/>
          <w:sz w:val="28"/>
          <w:szCs w:val="28"/>
        </w:rPr>
        <w:t>»;</w:t>
      </w:r>
    </w:p>
    <w:p w:rsidR="00A92DB1" w:rsidRDefault="00C578C2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строках «Осуществление части полномочий по дорожной деятельности в отношении автомобильных дорог местного значения в границах сельского поселения Тигинское Вожегодского муниципального района» и «Иные закупки товаров, работ и услуг для государственных (муниципальных) нужд» в графе «Фактически исполнено» цифры «550,0» заменить на цифры «499,9», в графе </w:t>
      </w:r>
      <w:r>
        <w:rPr>
          <w:rFonts w:ascii="Times New Roman" w:hAnsi="Times New Roman"/>
          <w:sz w:val="28"/>
          <w:szCs w:val="28"/>
        </w:rPr>
        <w:t>«Процент исполнения к годовому плану» цифры «100» заменить на цифры «99,9</w:t>
      </w:r>
      <w:r>
        <w:rPr>
          <w:rFonts w:ascii="Times New Roman" w:hAnsi="Times New Roman"/>
          <w:sz w:val="28"/>
          <w:szCs w:val="28"/>
        </w:rPr>
        <w:t>».</w:t>
      </w:r>
    </w:p>
    <w:p w:rsidR="00C578C2" w:rsidRPr="00970812" w:rsidRDefault="00C578C2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AC413D" w:rsidRPr="00970812" w:rsidRDefault="00B37FC8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CB5CA2" w:rsidRPr="00970812">
        <w:rPr>
          <w:rFonts w:ascii="Times New Roman" w:hAnsi="Times New Roman"/>
          <w:sz w:val="28"/>
          <w:szCs w:val="28"/>
        </w:rPr>
        <w:t xml:space="preserve">             </w:t>
      </w:r>
      <w:r w:rsidR="00970812" w:rsidRPr="00970812">
        <w:rPr>
          <w:rFonts w:ascii="Times New Roman" w:hAnsi="Times New Roman"/>
          <w:sz w:val="28"/>
          <w:szCs w:val="28"/>
        </w:rPr>
        <w:t>1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="008C4E02" w:rsidRPr="00970812">
        <w:rPr>
          <w:rFonts w:ascii="Times New Roman" w:hAnsi="Times New Roman"/>
          <w:sz w:val="28"/>
          <w:szCs w:val="28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</w:rPr>
        <w:t>У</w:t>
      </w:r>
      <w:r w:rsidR="008C4E02" w:rsidRPr="00970812">
        <w:rPr>
          <w:rFonts w:ascii="Times New Roman" w:hAnsi="Times New Roman"/>
          <w:sz w:val="28"/>
          <w:szCs w:val="28"/>
        </w:rPr>
        <w:t xml:space="preserve">честь </w:t>
      </w:r>
      <w:r w:rsidR="00A92DB1">
        <w:rPr>
          <w:rFonts w:ascii="Times New Roman" w:hAnsi="Times New Roman"/>
          <w:sz w:val="28"/>
          <w:szCs w:val="28"/>
        </w:rPr>
        <w:t>замечани</w:t>
      </w:r>
      <w:r w:rsidR="0044088F">
        <w:rPr>
          <w:rFonts w:ascii="Times New Roman" w:hAnsi="Times New Roman"/>
          <w:sz w:val="28"/>
          <w:szCs w:val="28"/>
        </w:rPr>
        <w:t>я</w:t>
      </w:r>
      <w:r w:rsidR="00A92DB1">
        <w:rPr>
          <w:rFonts w:ascii="Times New Roman" w:hAnsi="Times New Roman"/>
          <w:sz w:val="28"/>
          <w:szCs w:val="28"/>
        </w:rPr>
        <w:t xml:space="preserve"> КРУ</w:t>
      </w:r>
      <w:r w:rsidR="00A37E3D" w:rsidRPr="00970812">
        <w:rPr>
          <w:rFonts w:ascii="Times New Roman" w:hAnsi="Times New Roman"/>
          <w:sz w:val="28"/>
          <w:szCs w:val="28"/>
        </w:rPr>
        <w:t>.</w:t>
      </w:r>
    </w:p>
    <w:p w:rsidR="00577F76" w:rsidRPr="00970812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="00970812" w:rsidRPr="00970812">
        <w:rPr>
          <w:rFonts w:ascii="Times New Roman" w:hAnsi="Times New Roman"/>
          <w:sz w:val="28"/>
          <w:szCs w:val="28"/>
        </w:rPr>
        <w:t xml:space="preserve">  2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Pr="00970812">
        <w:rPr>
          <w:rFonts w:ascii="Times New Roman" w:hAnsi="Times New Roman"/>
          <w:sz w:val="28"/>
          <w:szCs w:val="28"/>
        </w:rPr>
        <w:t xml:space="preserve"> за </w:t>
      </w:r>
      <w:r w:rsidR="0084097C">
        <w:rPr>
          <w:rFonts w:ascii="Times New Roman" w:hAnsi="Times New Roman"/>
          <w:sz w:val="28"/>
          <w:szCs w:val="28"/>
        </w:rPr>
        <w:t>2020</w:t>
      </w:r>
      <w:r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Pr="00970812">
        <w:rPr>
          <w:rFonts w:ascii="Times New Roman" w:hAnsi="Times New Roman"/>
          <w:sz w:val="28"/>
          <w:szCs w:val="28"/>
        </w:rPr>
        <w:t>.</w:t>
      </w:r>
    </w:p>
    <w:p w:rsidR="00F07CEE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5E0A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FE3" w:rsidRDefault="00D83FE3" w:rsidP="009C6EA6">
      <w:pPr>
        <w:spacing w:after="0" w:line="240" w:lineRule="auto"/>
      </w:pPr>
      <w:r>
        <w:separator/>
      </w:r>
    </w:p>
  </w:endnote>
  <w:endnote w:type="continuationSeparator" w:id="0">
    <w:p w:rsidR="00D83FE3" w:rsidRDefault="00D83FE3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8C2">
          <w:rPr>
            <w:noProof/>
          </w:rPr>
          <w:t>5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FE3" w:rsidRDefault="00D83FE3" w:rsidP="009C6EA6">
      <w:pPr>
        <w:spacing w:after="0" w:line="240" w:lineRule="auto"/>
      </w:pPr>
      <w:r>
        <w:separator/>
      </w:r>
    </w:p>
  </w:footnote>
  <w:footnote w:type="continuationSeparator" w:id="0">
    <w:p w:rsidR="00D83FE3" w:rsidRDefault="00D83FE3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12B8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55A5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319E1"/>
    <w:rsid w:val="00237715"/>
    <w:rsid w:val="00240D58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A2848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D7C0C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31E9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676C"/>
    <w:rsid w:val="004277A3"/>
    <w:rsid w:val="00432EFB"/>
    <w:rsid w:val="0043635C"/>
    <w:rsid w:val="0044088F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95"/>
    <w:rsid w:val="005E0AA7"/>
    <w:rsid w:val="005E1F68"/>
    <w:rsid w:val="005E2FCD"/>
    <w:rsid w:val="005E316F"/>
    <w:rsid w:val="005F1CB3"/>
    <w:rsid w:val="005F3E6D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1564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1313"/>
    <w:rsid w:val="0081446A"/>
    <w:rsid w:val="00816B72"/>
    <w:rsid w:val="00817327"/>
    <w:rsid w:val="00824CB7"/>
    <w:rsid w:val="00824DD9"/>
    <w:rsid w:val="008255CC"/>
    <w:rsid w:val="00825E39"/>
    <w:rsid w:val="008278D5"/>
    <w:rsid w:val="008301C0"/>
    <w:rsid w:val="00831AFA"/>
    <w:rsid w:val="00832DB9"/>
    <w:rsid w:val="008336E2"/>
    <w:rsid w:val="00835028"/>
    <w:rsid w:val="0084097C"/>
    <w:rsid w:val="008437FF"/>
    <w:rsid w:val="00847BFC"/>
    <w:rsid w:val="0085069B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B3A68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3B53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47C95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2E47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8C2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20AFF"/>
    <w:rsid w:val="00D223A4"/>
    <w:rsid w:val="00D22E4E"/>
    <w:rsid w:val="00D26A7B"/>
    <w:rsid w:val="00D30F65"/>
    <w:rsid w:val="00D3300C"/>
    <w:rsid w:val="00D33D90"/>
    <w:rsid w:val="00D350D6"/>
    <w:rsid w:val="00D37561"/>
    <w:rsid w:val="00D4073E"/>
    <w:rsid w:val="00D41492"/>
    <w:rsid w:val="00D414ED"/>
    <w:rsid w:val="00D46D1E"/>
    <w:rsid w:val="00D46EEF"/>
    <w:rsid w:val="00D50E09"/>
    <w:rsid w:val="00D52FD3"/>
    <w:rsid w:val="00D57E76"/>
    <w:rsid w:val="00D661D8"/>
    <w:rsid w:val="00D67743"/>
    <w:rsid w:val="00D75036"/>
    <w:rsid w:val="00D7656D"/>
    <w:rsid w:val="00D77DE0"/>
    <w:rsid w:val="00D800F1"/>
    <w:rsid w:val="00D82186"/>
    <w:rsid w:val="00D83FE3"/>
    <w:rsid w:val="00D84CDC"/>
    <w:rsid w:val="00D86F78"/>
    <w:rsid w:val="00D929BA"/>
    <w:rsid w:val="00D93C9E"/>
    <w:rsid w:val="00D93FC6"/>
    <w:rsid w:val="00D95D9A"/>
    <w:rsid w:val="00D97EC5"/>
    <w:rsid w:val="00DA1DFF"/>
    <w:rsid w:val="00DA2E88"/>
    <w:rsid w:val="00DA5679"/>
    <w:rsid w:val="00DA629C"/>
    <w:rsid w:val="00DC019C"/>
    <w:rsid w:val="00DC1ED4"/>
    <w:rsid w:val="00DC6FCC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4B0A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5E51"/>
    <w:rsid w:val="00F16C95"/>
    <w:rsid w:val="00F21663"/>
    <w:rsid w:val="00F228E1"/>
    <w:rsid w:val="00F23393"/>
    <w:rsid w:val="00F37AFF"/>
    <w:rsid w:val="00F42E59"/>
    <w:rsid w:val="00F46E6D"/>
    <w:rsid w:val="00F50A3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B90D4-F2D8-43E1-A05C-6F1859EF9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7168</TotalTime>
  <Pages>5</Pages>
  <Words>1718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46</cp:revision>
  <cp:lastPrinted>2021-03-23T11:12:00Z</cp:lastPrinted>
  <dcterms:created xsi:type="dcterms:W3CDTF">2013-04-03T11:30:00Z</dcterms:created>
  <dcterms:modified xsi:type="dcterms:W3CDTF">2021-03-23T11:12:00Z</dcterms:modified>
</cp:coreProperties>
</file>