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решения Совета сельского поселения </w:t>
      </w:r>
      <w:r w:rsidR="002C1F8A">
        <w:rPr>
          <w:rFonts w:ascii="Times New Roman" w:hAnsi="Times New Roman"/>
          <w:b/>
          <w:sz w:val="28"/>
          <w:szCs w:val="28"/>
        </w:rPr>
        <w:t>Кадниковское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2C1F8A">
        <w:rPr>
          <w:rFonts w:ascii="Times New Roman" w:hAnsi="Times New Roman"/>
          <w:b/>
          <w:sz w:val="28"/>
          <w:szCs w:val="28"/>
        </w:rPr>
        <w:t>Кадниковское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2019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Default="00EF4C73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>марта 2020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717E6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9</w:t>
      </w:r>
      <w:r w:rsidR="002A2848" w:rsidRPr="002A2848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Кадниковское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Pr="001B42AD">
        <w:rPr>
          <w:rFonts w:ascii="Times New Roman" w:hAnsi="Times New Roman"/>
          <w:sz w:val="28"/>
          <w:szCs w:val="28"/>
        </w:rPr>
        <w:t xml:space="preserve"> за 2019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Кадниковское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Кадниковское от 18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.2014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Кадниковское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Кадниковское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Pr="001B42AD">
        <w:rPr>
          <w:rFonts w:ascii="Times New Roman" w:hAnsi="Times New Roman"/>
          <w:sz w:val="28"/>
          <w:szCs w:val="28"/>
        </w:rPr>
        <w:t xml:space="preserve"> за 2019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2020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C1F8A">
        <w:rPr>
          <w:rFonts w:ascii="Times New Roman" w:hAnsi="Times New Roman"/>
          <w:b/>
          <w:sz w:val="28"/>
          <w:szCs w:val="28"/>
          <w:lang w:eastAsia="ru-RU"/>
        </w:rPr>
        <w:t>Кадниковское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2019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 от 20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1F8A">
        <w:rPr>
          <w:rFonts w:ascii="Times New Roman" w:hAnsi="Times New Roman"/>
          <w:sz w:val="28"/>
          <w:szCs w:val="28"/>
          <w:lang w:eastAsia="ru-RU"/>
        </w:rPr>
        <w:t>18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20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</w:t>
      </w:r>
      <w:r w:rsidR="002C1F8A">
        <w:rPr>
          <w:rFonts w:ascii="Times New Roman" w:hAnsi="Times New Roman"/>
          <w:sz w:val="28"/>
          <w:szCs w:val="28"/>
          <w:lang w:eastAsia="ru-RU"/>
        </w:rPr>
        <w:lastRenderedPageBreak/>
        <w:t>в сумме 9452,1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2C1F8A">
        <w:rPr>
          <w:rFonts w:ascii="Times New Roman" w:hAnsi="Times New Roman"/>
          <w:sz w:val="28"/>
          <w:szCs w:val="28"/>
          <w:lang w:eastAsia="ru-RU"/>
        </w:rPr>
        <w:t>, расходам – 9499,8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2C1F8A">
        <w:rPr>
          <w:rFonts w:ascii="Times New Roman" w:hAnsi="Times New Roman"/>
          <w:sz w:val="28"/>
          <w:szCs w:val="28"/>
          <w:lang w:eastAsia="ru-RU"/>
        </w:rPr>
        <w:t>, дефицит бюджета в сумме 47,7 тыс. рублей.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>В течение 201</w:t>
      </w:r>
      <w:r w:rsidR="003F7293">
        <w:rPr>
          <w:rFonts w:ascii="Times New Roman" w:hAnsi="Times New Roman"/>
          <w:sz w:val="28"/>
          <w:szCs w:val="28"/>
          <w:lang w:eastAsia="ru-RU"/>
        </w:rPr>
        <w:t>9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2C1F8A">
        <w:rPr>
          <w:rFonts w:ascii="Times New Roman" w:hAnsi="Times New Roman"/>
          <w:sz w:val="28"/>
          <w:szCs w:val="28"/>
          <w:lang w:eastAsia="ru-RU"/>
        </w:rPr>
        <w:t>4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="003F370F">
        <w:rPr>
          <w:rFonts w:ascii="Times New Roman" w:hAnsi="Times New Roman"/>
          <w:sz w:val="28"/>
          <w:szCs w:val="28"/>
          <w:lang w:eastAsia="ru-RU"/>
        </w:rPr>
        <w:t>, изменяющих и дополняющих показатели бюджета поселения. Последние поправки в бюджет были внесены 2</w:t>
      </w:r>
      <w:r w:rsidR="002C1F8A">
        <w:rPr>
          <w:rFonts w:ascii="Times New Roman" w:hAnsi="Times New Roman"/>
          <w:sz w:val="28"/>
          <w:szCs w:val="28"/>
          <w:lang w:eastAsia="ru-RU"/>
        </w:rPr>
        <w:t>0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2019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2C1F8A">
        <w:rPr>
          <w:rFonts w:ascii="Times New Roman" w:hAnsi="Times New Roman"/>
          <w:sz w:val="28"/>
          <w:szCs w:val="28"/>
          <w:lang w:eastAsia="ru-RU"/>
        </w:rPr>
        <w:t>ы утверждены в объеме – 12754,0 тыс. рублей, расходы – 12775,9 тыс. рублей, дефицит – 21,9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Pr="00DD0CF8">
        <w:rPr>
          <w:rFonts w:ascii="Times New Roman" w:hAnsi="Times New Roman"/>
          <w:sz w:val="28"/>
          <w:szCs w:val="28"/>
        </w:rPr>
        <w:t xml:space="preserve"> за 2019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Утверждено на 201</w:t>
            </w:r>
            <w:r>
              <w:rPr>
                <w:rFonts w:ascii="Times New Roman" w:hAnsi="Times New Roman"/>
              </w:rPr>
              <w:t>9</w:t>
            </w:r>
            <w:r w:rsidRPr="00DD0CF8">
              <w:rPr>
                <w:rFonts w:ascii="Times New Roman" w:hAnsi="Times New Roman"/>
              </w:rPr>
              <w:t xml:space="preserve"> год Решение от 2</w:t>
            </w:r>
            <w:r w:rsidR="002C1F8A">
              <w:rPr>
                <w:rFonts w:ascii="Times New Roman" w:hAnsi="Times New Roman"/>
              </w:rPr>
              <w:t>0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2.2019</w:t>
            </w:r>
            <w:r>
              <w:rPr>
                <w:rFonts w:ascii="Times New Roman" w:hAnsi="Times New Roman"/>
              </w:rPr>
              <w:t>г. № 2</w:t>
            </w:r>
            <w:r w:rsidR="002C1F8A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Исполнено за 2019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>
              <w:rPr>
                <w:rFonts w:ascii="Times New Roman" w:hAnsi="Times New Roman"/>
              </w:rPr>
              <w:t>2019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962,0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978,0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101,7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11792,0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11792,0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92,3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12754,0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12770,0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100,1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12775,9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12730,8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99,6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-21,9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2C1F8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2C1F8A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+39,2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По данным годового отчета бюджет сельского поселения за 2019 год испо</w:t>
      </w:r>
      <w:r w:rsidR="002C1F8A">
        <w:rPr>
          <w:rFonts w:ascii="Times New Roman" w:hAnsi="Times New Roman"/>
          <w:kern w:val="1"/>
          <w:sz w:val="28"/>
          <w:szCs w:val="28"/>
        </w:rPr>
        <w:t>лнен по доходам в сумме 12770,0</w:t>
      </w:r>
      <w:r>
        <w:rPr>
          <w:rFonts w:ascii="Times New Roman" w:hAnsi="Times New Roman"/>
          <w:kern w:val="1"/>
          <w:sz w:val="28"/>
          <w:szCs w:val="28"/>
        </w:rPr>
        <w:t xml:space="preserve"> тыс. рублей или на 10</w:t>
      </w:r>
      <w:r w:rsidR="002C1F8A">
        <w:rPr>
          <w:rFonts w:ascii="Times New Roman" w:hAnsi="Times New Roman"/>
          <w:kern w:val="1"/>
          <w:sz w:val="28"/>
          <w:szCs w:val="28"/>
        </w:rPr>
        <w:t>0</w:t>
      </w:r>
      <w:r>
        <w:rPr>
          <w:rFonts w:ascii="Times New Roman" w:hAnsi="Times New Roman"/>
          <w:kern w:val="1"/>
          <w:sz w:val="28"/>
          <w:szCs w:val="28"/>
        </w:rPr>
        <w:t>,</w:t>
      </w:r>
      <w:r w:rsidR="002C1F8A">
        <w:rPr>
          <w:rFonts w:ascii="Times New Roman" w:hAnsi="Times New Roman"/>
          <w:kern w:val="1"/>
          <w:sz w:val="28"/>
          <w:szCs w:val="28"/>
        </w:rPr>
        <w:t>1 %; по расходам в сумме 12730,8</w:t>
      </w:r>
      <w:r w:rsidR="00D122AD">
        <w:rPr>
          <w:rFonts w:ascii="Times New Roman" w:hAnsi="Times New Roman"/>
          <w:kern w:val="1"/>
          <w:sz w:val="28"/>
          <w:szCs w:val="28"/>
        </w:rPr>
        <w:t xml:space="preserve"> тыс. рублей или 99,6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2C1F8A">
        <w:rPr>
          <w:rFonts w:ascii="Times New Roman" w:hAnsi="Times New Roman"/>
          <w:kern w:val="1"/>
          <w:sz w:val="28"/>
          <w:szCs w:val="28"/>
        </w:rPr>
        <w:t>Кадниковское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D122AD">
        <w:rPr>
          <w:rFonts w:ascii="Times New Roman" w:hAnsi="Times New Roman"/>
          <w:kern w:val="1"/>
          <w:sz w:val="28"/>
          <w:szCs w:val="28"/>
        </w:rPr>
        <w:t>сполнен с профицитом в сумме 39,2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2C1F8A">
        <w:rPr>
          <w:rFonts w:ascii="Times New Roman" w:hAnsi="Times New Roman"/>
          <w:b/>
          <w:sz w:val="28"/>
          <w:szCs w:val="28"/>
          <w:lang w:eastAsia="ru-RU"/>
        </w:rPr>
        <w:t>Кадниковское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>за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2C1F8A">
        <w:rPr>
          <w:rFonts w:ascii="Times New Roman" w:hAnsi="Times New Roman"/>
          <w:b/>
          <w:sz w:val="28"/>
          <w:szCs w:val="28"/>
          <w:lang w:eastAsia="ru-RU"/>
        </w:rPr>
        <w:t>Кадниковское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DF17DC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D122A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9452,1</w:t>
            </w:r>
          </w:p>
        </w:tc>
        <w:tc>
          <w:tcPr>
            <w:tcW w:w="3115" w:type="dxa"/>
          </w:tcPr>
          <w:p w:rsidR="004F7CB1" w:rsidRPr="00BD0CD3" w:rsidRDefault="00227DE4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12770,0</w:t>
            </w:r>
            <w:bookmarkStart w:id="0" w:name="_GoBack"/>
            <w:bookmarkEnd w:id="0"/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D122A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954,0</w:t>
            </w:r>
          </w:p>
        </w:tc>
        <w:tc>
          <w:tcPr>
            <w:tcW w:w="3115" w:type="dxa"/>
          </w:tcPr>
          <w:p w:rsidR="004F7CB1" w:rsidRPr="00BD0CD3" w:rsidRDefault="00D122A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978,0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D122A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+24,0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D122A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8498,1</w:t>
            </w:r>
          </w:p>
        </w:tc>
        <w:tc>
          <w:tcPr>
            <w:tcW w:w="3115" w:type="dxa"/>
          </w:tcPr>
          <w:p w:rsidR="004F7CB1" w:rsidRPr="00BD0CD3" w:rsidRDefault="00D122A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11792,0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D122A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+3293,9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D122AD">
        <w:rPr>
          <w:rFonts w:ascii="Times New Roman" w:hAnsi="Times New Roman"/>
          <w:sz w:val="28"/>
          <w:szCs w:val="28"/>
          <w:lang w:eastAsia="ru-RU"/>
        </w:rPr>
        <w:t xml:space="preserve"> 24,0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D122AD">
        <w:rPr>
          <w:rFonts w:ascii="Times New Roman" w:hAnsi="Times New Roman"/>
          <w:sz w:val="28"/>
          <w:szCs w:val="28"/>
          <w:lang w:eastAsia="ru-RU"/>
        </w:rPr>
        <w:t>978,0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D122AD">
        <w:rPr>
          <w:rFonts w:ascii="Times New Roman" w:hAnsi="Times New Roman"/>
          <w:sz w:val="28"/>
          <w:szCs w:val="28"/>
          <w:lang w:eastAsia="ru-RU"/>
        </w:rPr>
        <w:t>8498,1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D122AD">
        <w:rPr>
          <w:rFonts w:ascii="Times New Roman" w:hAnsi="Times New Roman"/>
          <w:sz w:val="28"/>
          <w:szCs w:val="28"/>
          <w:lang w:eastAsia="ru-RU"/>
        </w:rPr>
        <w:t>11792,0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>а 2019 год исполнен в сумме 978,0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 (101,7 % от утвержденных назначений), их у</w:t>
      </w:r>
      <w:r w:rsidR="00D122AD">
        <w:rPr>
          <w:rFonts w:ascii="Times New Roman" w:hAnsi="Times New Roman"/>
          <w:sz w:val="28"/>
          <w:szCs w:val="28"/>
          <w:lang w:eastAsia="ru-RU"/>
        </w:rPr>
        <w:t>дельный вес в доходах бюджета 7,7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2019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456,0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463,2</w:t>
            </w:r>
          </w:p>
        </w:tc>
        <w:tc>
          <w:tcPr>
            <w:tcW w:w="1522" w:type="dxa"/>
          </w:tcPr>
          <w:p w:rsidR="002570AB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101,6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47,4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121,3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123,9</w:t>
            </w:r>
          </w:p>
        </w:tc>
        <w:tc>
          <w:tcPr>
            <w:tcW w:w="1522" w:type="dxa"/>
          </w:tcPr>
          <w:p w:rsidR="002570AB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102,1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12,7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110,1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110,1</w:t>
            </w:r>
          </w:p>
        </w:tc>
        <w:tc>
          <w:tcPr>
            <w:tcW w:w="1522" w:type="dxa"/>
          </w:tcPr>
          <w:p w:rsidR="002570AB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11,2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182,6</w:t>
            </w:r>
          </w:p>
        </w:tc>
        <w:tc>
          <w:tcPr>
            <w:tcW w:w="1522" w:type="dxa"/>
          </w:tcPr>
          <w:p w:rsidR="002570AB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101,4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18,7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пошлина </w:t>
            </w:r>
          </w:p>
        </w:tc>
        <w:tc>
          <w:tcPr>
            <w:tcW w:w="1878" w:type="dxa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48,4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52,1</w:t>
            </w:r>
          </w:p>
        </w:tc>
        <w:tc>
          <w:tcPr>
            <w:tcW w:w="1522" w:type="dxa"/>
          </w:tcPr>
          <w:p w:rsidR="002570AB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107,6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5,3</w:t>
            </w:r>
          </w:p>
        </w:tc>
      </w:tr>
      <w:tr w:rsidR="00D122AD" w:rsidRPr="00BD0CD3" w:rsidTr="002570AB">
        <w:tc>
          <w:tcPr>
            <w:tcW w:w="2390" w:type="dxa"/>
            <w:shd w:val="clear" w:color="auto" w:fill="auto"/>
          </w:tcPr>
          <w:p w:rsidR="00D122AD" w:rsidRPr="00BD0CD3" w:rsidRDefault="00D122AD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использования имуществом</w:t>
            </w:r>
          </w:p>
        </w:tc>
        <w:tc>
          <w:tcPr>
            <w:tcW w:w="1878" w:type="dxa"/>
          </w:tcPr>
          <w:p w:rsidR="00D122AD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46,2</w:t>
            </w:r>
          </w:p>
        </w:tc>
        <w:tc>
          <w:tcPr>
            <w:tcW w:w="1960" w:type="dxa"/>
            <w:shd w:val="clear" w:color="auto" w:fill="auto"/>
          </w:tcPr>
          <w:p w:rsidR="00D122AD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46,2</w:t>
            </w:r>
          </w:p>
        </w:tc>
        <w:tc>
          <w:tcPr>
            <w:tcW w:w="1522" w:type="dxa"/>
          </w:tcPr>
          <w:p w:rsidR="00D122AD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99,8</w:t>
            </w:r>
          </w:p>
        </w:tc>
        <w:tc>
          <w:tcPr>
            <w:tcW w:w="1595" w:type="dxa"/>
            <w:shd w:val="clear" w:color="auto" w:fill="auto"/>
          </w:tcPr>
          <w:p w:rsidR="00D122AD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4,7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D122A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962,0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D122A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978,0</w:t>
            </w:r>
          </w:p>
        </w:tc>
        <w:tc>
          <w:tcPr>
            <w:tcW w:w="1522" w:type="dxa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101,7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122A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>в доходах бюджета сельского поселения за 2019 год составили</w:t>
      </w:r>
      <w:r w:rsidR="00D122AD">
        <w:rPr>
          <w:rFonts w:ascii="Times New Roman" w:hAnsi="Times New Roman"/>
          <w:sz w:val="28"/>
          <w:szCs w:val="28"/>
        </w:rPr>
        <w:t xml:space="preserve"> 11792,0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или 100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D122AD">
        <w:rPr>
          <w:rFonts w:ascii="Times New Roman" w:hAnsi="Times New Roman"/>
          <w:sz w:val="28"/>
          <w:szCs w:val="28"/>
        </w:rPr>
        <w:t>составил 92,3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D122AD">
        <w:rPr>
          <w:rFonts w:ascii="Times New Roman" w:hAnsi="Times New Roman"/>
          <w:sz w:val="28"/>
          <w:szCs w:val="28"/>
        </w:rPr>
        <w:t>– 3214,5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D122AD">
        <w:rPr>
          <w:rFonts w:ascii="Times New Roman" w:hAnsi="Times New Roman"/>
          <w:sz w:val="28"/>
          <w:szCs w:val="28"/>
        </w:rPr>
        <w:t>– 3991,8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Default="00D122AD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-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>субсидии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="000F1A76">
        <w:rPr>
          <w:rFonts w:ascii="Times New Roman" w:hAnsi="Times New Roman"/>
          <w:sz w:val="28"/>
          <w:szCs w:val="28"/>
        </w:rPr>
        <w:t xml:space="preserve">на реализацию мероприятий по устойчивому развитию сельских территорий </w:t>
      </w:r>
      <w:r w:rsidR="00D414ED">
        <w:rPr>
          <w:rFonts w:ascii="Times New Roman" w:hAnsi="Times New Roman"/>
          <w:sz w:val="28"/>
          <w:szCs w:val="28"/>
        </w:rPr>
        <w:t xml:space="preserve">– </w:t>
      </w:r>
      <w:r w:rsidR="000F1A76">
        <w:rPr>
          <w:rFonts w:ascii="Times New Roman" w:hAnsi="Times New Roman"/>
          <w:sz w:val="28"/>
          <w:szCs w:val="28"/>
        </w:rPr>
        <w:t>180,0</w:t>
      </w:r>
      <w:r w:rsidR="00D414ED">
        <w:rPr>
          <w:rFonts w:ascii="Times New Roman" w:hAnsi="Times New Roman"/>
          <w:sz w:val="28"/>
          <w:szCs w:val="28"/>
        </w:rPr>
        <w:t xml:space="preserve"> тыс. рублей или 100 % от утвержденных назначений;</w:t>
      </w:r>
      <w:r w:rsidRPr="00D122AD">
        <w:rPr>
          <w:rFonts w:ascii="Times New Roman" w:hAnsi="Times New Roman"/>
          <w:sz w:val="28"/>
          <w:szCs w:val="28"/>
        </w:rPr>
        <w:t xml:space="preserve"> </w:t>
      </w:r>
    </w:p>
    <w:p w:rsidR="00D122AD" w:rsidRPr="00D414ED" w:rsidRDefault="00D122AD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570AB">
        <w:rPr>
          <w:rFonts w:ascii="Times New Roman" w:hAnsi="Times New Roman"/>
          <w:sz w:val="28"/>
          <w:szCs w:val="28"/>
        </w:rPr>
        <w:t xml:space="preserve">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</w:t>
      </w:r>
      <w:r w:rsidR="000F1A76">
        <w:rPr>
          <w:rFonts w:ascii="Times New Roman" w:hAnsi="Times New Roman"/>
          <w:sz w:val="28"/>
          <w:szCs w:val="28"/>
        </w:rPr>
        <w:t>жетам сельских поселений – 1529,8</w:t>
      </w:r>
      <w:r>
        <w:rPr>
          <w:rFonts w:ascii="Times New Roman" w:hAnsi="Times New Roman"/>
          <w:sz w:val="28"/>
          <w:szCs w:val="28"/>
        </w:rPr>
        <w:t xml:space="preserve"> тыс. рублей или 100 %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выполнение передаваемых полномочий субъектов Российской Федерации </w:t>
      </w:r>
      <w:r w:rsidR="00D414ED">
        <w:rPr>
          <w:rFonts w:ascii="Times New Roman" w:hAnsi="Times New Roman"/>
          <w:sz w:val="28"/>
          <w:szCs w:val="28"/>
        </w:rPr>
        <w:t>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0,4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F45C7">
        <w:rPr>
          <w:rFonts w:ascii="Times New Roman" w:hAnsi="Times New Roman"/>
          <w:sz w:val="28"/>
          <w:szCs w:val="28"/>
        </w:rPr>
        <w:t>аты в размере 92,1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0F1A76">
        <w:rPr>
          <w:rFonts w:ascii="Times New Roman" w:hAnsi="Times New Roman"/>
          <w:sz w:val="28"/>
          <w:szCs w:val="28"/>
        </w:rPr>
        <w:t>– 2353,2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0F1A76">
        <w:rPr>
          <w:rFonts w:ascii="Times New Roman" w:hAnsi="Times New Roman"/>
          <w:sz w:val="28"/>
          <w:szCs w:val="28"/>
        </w:rPr>
        <w:t>жетам сельских поселений – 283,9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0F1A76">
        <w:rPr>
          <w:rFonts w:ascii="Times New Roman" w:hAnsi="Times New Roman"/>
          <w:sz w:val="28"/>
          <w:szCs w:val="28"/>
          <w:lang w:eastAsia="ar-SA"/>
        </w:rPr>
        <w:t xml:space="preserve"> – 145,8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0F1A76">
        <w:rPr>
          <w:rFonts w:ascii="Times New Roman" w:hAnsi="Times New Roman"/>
          <w:sz w:val="28"/>
          <w:szCs w:val="28"/>
          <w:lang w:eastAsia="ar-SA"/>
        </w:rPr>
        <w:t>и 100 % утвержденных назначений;</w:t>
      </w:r>
    </w:p>
    <w:p w:rsidR="000F1A76" w:rsidRPr="000F1A76" w:rsidRDefault="000F1A76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sz w:val="28"/>
          <w:szCs w:val="28"/>
          <w:lang w:eastAsia="ar-SA"/>
        </w:rPr>
        <w:t xml:space="preserve">- доходы бюджетов сельских поселений </w:t>
      </w:r>
      <w:r>
        <w:rPr>
          <w:rFonts w:ascii="Times New Roman" w:hAnsi="Times New Roman"/>
          <w:sz w:val="28"/>
          <w:szCs w:val="28"/>
          <w:lang w:eastAsia="ar-SA"/>
        </w:rPr>
        <w:t>от возвратов остатков субсидий, субвенций и иных межбюджетных трансфертов, имеющих целевое назначение, прошлых лет из бюджетов муниципальных районов – 0,5 тыс. рублей.</w:t>
      </w:r>
      <w:r>
        <w:rPr>
          <w:rFonts w:ascii="Times New Roman" w:hAnsi="Times New Roman"/>
          <w:b/>
          <w:i/>
          <w:sz w:val="28"/>
          <w:szCs w:val="28"/>
          <w:lang w:eastAsia="ar-SA"/>
        </w:rPr>
        <w:t xml:space="preserve"> 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2C1F8A">
        <w:rPr>
          <w:rFonts w:ascii="Times New Roman" w:hAnsi="Times New Roman"/>
          <w:b/>
          <w:sz w:val="28"/>
          <w:szCs w:val="28"/>
          <w:lang w:eastAsia="ru-RU"/>
        </w:rPr>
        <w:t>Кадниковское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>за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 w:rsidR="00970812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0F1A76">
        <w:rPr>
          <w:rFonts w:ascii="Times New Roman" w:hAnsi="Times New Roman"/>
          <w:sz w:val="28"/>
          <w:szCs w:val="28"/>
          <w:lang w:eastAsia="ru-RU"/>
        </w:rPr>
        <w:t>9499,8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0F1A76">
        <w:rPr>
          <w:rFonts w:ascii="Times New Roman" w:hAnsi="Times New Roman"/>
          <w:sz w:val="28"/>
          <w:szCs w:val="28"/>
          <w:lang w:eastAsia="ru-RU"/>
        </w:rPr>
        <w:t>4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</w:t>
      </w:r>
      <w:r w:rsidR="000F1A76">
        <w:rPr>
          <w:rFonts w:ascii="Times New Roman" w:hAnsi="Times New Roman"/>
          <w:sz w:val="28"/>
          <w:szCs w:val="28"/>
          <w:lang w:eastAsia="ru-RU"/>
        </w:rPr>
        <w:t>а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согласно решениям Совета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 Плановые расходы 201</w:t>
      </w:r>
      <w:r w:rsidR="00970812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0F1A76">
        <w:rPr>
          <w:rFonts w:ascii="Times New Roman" w:hAnsi="Times New Roman"/>
          <w:sz w:val="28"/>
          <w:szCs w:val="28"/>
          <w:lang w:eastAsia="ru-RU"/>
        </w:rPr>
        <w:t>12775,9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3276,1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0F1A76">
        <w:rPr>
          <w:rFonts w:ascii="Times New Roman" w:hAnsi="Times New Roman"/>
          <w:sz w:val="28"/>
          <w:szCs w:val="28"/>
          <w:lang w:eastAsia="ru-RU"/>
        </w:rPr>
        <w:t>34,5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0F1A76">
        <w:rPr>
          <w:rFonts w:ascii="Times New Roman" w:hAnsi="Times New Roman"/>
          <w:sz w:val="28"/>
          <w:szCs w:val="28"/>
          <w:lang w:eastAsia="ru-RU"/>
        </w:rPr>
        <w:t>12730,8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F1A76">
        <w:rPr>
          <w:rFonts w:ascii="Times New Roman" w:hAnsi="Times New Roman"/>
          <w:sz w:val="28"/>
          <w:szCs w:val="28"/>
          <w:lang w:eastAsia="ru-RU"/>
        </w:rPr>
        <w:t>тыс. рублей, что составляет 99,6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2"/>
        <w:gridCol w:w="1810"/>
        <w:gridCol w:w="2006"/>
        <w:gridCol w:w="2524"/>
      </w:tblGrid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BA7B76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70812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3816,2</w:t>
            </w:r>
          </w:p>
        </w:tc>
        <w:tc>
          <w:tcPr>
            <w:tcW w:w="2006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4039,5</w:t>
            </w:r>
          </w:p>
        </w:tc>
        <w:tc>
          <w:tcPr>
            <w:tcW w:w="2524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3996,7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2006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2524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37,0</w:t>
            </w:r>
          </w:p>
        </w:tc>
        <w:tc>
          <w:tcPr>
            <w:tcW w:w="2006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2524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86,3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1068,2</w:t>
            </w:r>
          </w:p>
        </w:tc>
        <w:tc>
          <w:tcPr>
            <w:tcW w:w="2006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1381,1</w:t>
            </w:r>
          </w:p>
        </w:tc>
        <w:tc>
          <w:tcPr>
            <w:tcW w:w="2524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1381,1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1719,5</w:t>
            </w:r>
          </w:p>
        </w:tc>
        <w:tc>
          <w:tcPr>
            <w:tcW w:w="2006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3986,4</w:t>
            </w:r>
          </w:p>
        </w:tc>
        <w:tc>
          <w:tcPr>
            <w:tcW w:w="2524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3984,9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006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524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2152,5</w:t>
            </w:r>
          </w:p>
        </w:tc>
        <w:tc>
          <w:tcPr>
            <w:tcW w:w="2006" w:type="dxa"/>
          </w:tcPr>
          <w:p w:rsidR="0066588B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2552,9</w:t>
            </w:r>
          </w:p>
        </w:tc>
        <w:tc>
          <w:tcPr>
            <w:tcW w:w="2524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2552,9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249,1</w:t>
            </w:r>
          </w:p>
        </w:tc>
        <w:tc>
          <w:tcPr>
            <w:tcW w:w="2006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275,2</w:t>
            </w:r>
          </w:p>
        </w:tc>
        <w:tc>
          <w:tcPr>
            <w:tcW w:w="2524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275,2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360,2</w:t>
            </w:r>
          </w:p>
        </w:tc>
        <w:tc>
          <w:tcPr>
            <w:tcW w:w="2006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356,7</w:t>
            </w:r>
          </w:p>
        </w:tc>
        <w:tc>
          <w:tcPr>
            <w:tcW w:w="2524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356,6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9499,8</w:t>
            </w:r>
          </w:p>
        </w:tc>
        <w:tc>
          <w:tcPr>
            <w:tcW w:w="2006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12775,9</w:t>
            </w:r>
          </w:p>
        </w:tc>
        <w:tc>
          <w:tcPr>
            <w:tcW w:w="2524" w:type="dxa"/>
          </w:tcPr>
          <w:p w:rsidR="007F7EE8" w:rsidRPr="00970812" w:rsidRDefault="000F1A76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12730,8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2C1F8A">
        <w:rPr>
          <w:rFonts w:ascii="Times New Roman" w:hAnsi="Times New Roman"/>
          <w:sz w:val="28"/>
          <w:szCs w:val="28"/>
          <w:lang w:eastAsia="ru-RU"/>
        </w:rPr>
        <w:t>Кадниковское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0F1A76">
        <w:rPr>
          <w:rFonts w:ascii="Times New Roman" w:hAnsi="Times New Roman"/>
          <w:sz w:val="28"/>
          <w:szCs w:val="28"/>
          <w:lang w:eastAsia="ru-RU"/>
        </w:rPr>
        <w:t>3996,7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425ECE">
        <w:rPr>
          <w:rFonts w:ascii="Times New Roman" w:hAnsi="Times New Roman"/>
          <w:sz w:val="28"/>
          <w:szCs w:val="28"/>
          <w:lang w:eastAsia="ru-RU"/>
        </w:rPr>
        <w:t>42,8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98,</w:t>
      </w:r>
      <w:r w:rsidR="00425ECE">
        <w:rPr>
          <w:rFonts w:ascii="Times New Roman" w:hAnsi="Times New Roman"/>
          <w:sz w:val="28"/>
          <w:szCs w:val="28"/>
          <w:lang w:eastAsia="ru-RU"/>
        </w:rPr>
        <w:t>9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AD4E73">
        <w:rPr>
          <w:rFonts w:ascii="Times New Roman" w:hAnsi="Times New Roman"/>
          <w:sz w:val="28"/>
          <w:szCs w:val="28"/>
          <w:lang w:eastAsia="ru-RU"/>
        </w:rPr>
        <w:t>92,1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425ECE">
        <w:rPr>
          <w:rFonts w:ascii="Times New Roman" w:hAnsi="Times New Roman"/>
          <w:sz w:val="28"/>
          <w:szCs w:val="28"/>
          <w:lang w:eastAsia="ru-RU"/>
        </w:rPr>
        <w:t>86,3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на 0,7 тыс. рублей меньше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425ECE">
        <w:rPr>
          <w:rFonts w:ascii="Times New Roman" w:hAnsi="Times New Roman"/>
          <w:sz w:val="28"/>
          <w:szCs w:val="28"/>
          <w:lang w:eastAsia="ru-RU"/>
        </w:rPr>
        <w:t>99,2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425ECE">
        <w:rPr>
          <w:rFonts w:ascii="Times New Roman" w:hAnsi="Times New Roman"/>
          <w:sz w:val="28"/>
          <w:szCs w:val="28"/>
          <w:lang w:eastAsia="ru-RU"/>
        </w:rPr>
        <w:t>1381,1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425ECE">
        <w:rPr>
          <w:rFonts w:ascii="Times New Roman" w:hAnsi="Times New Roman"/>
          <w:sz w:val="28"/>
          <w:szCs w:val="28"/>
          <w:lang w:eastAsia="ru-RU"/>
        </w:rPr>
        <w:t>3984,9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</w:t>
      </w:r>
      <w:r w:rsidR="00425ECE">
        <w:rPr>
          <w:rFonts w:ascii="Times New Roman" w:hAnsi="Times New Roman"/>
          <w:sz w:val="28"/>
          <w:szCs w:val="28"/>
          <w:lang w:eastAsia="ru-RU"/>
        </w:rPr>
        <w:t>,5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425ECE">
        <w:rPr>
          <w:rFonts w:ascii="Times New Roman" w:hAnsi="Times New Roman"/>
          <w:sz w:val="28"/>
          <w:szCs w:val="28"/>
          <w:lang w:eastAsia="ru-RU"/>
        </w:rPr>
        <w:t>99,9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образование –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5,0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425ECE">
        <w:rPr>
          <w:rFonts w:ascii="Times New Roman" w:hAnsi="Times New Roman"/>
          <w:sz w:val="28"/>
          <w:szCs w:val="28"/>
          <w:lang w:eastAsia="ru-RU"/>
        </w:rPr>
        <w:t>100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425ECE">
        <w:rPr>
          <w:rFonts w:ascii="Times New Roman" w:hAnsi="Times New Roman"/>
          <w:sz w:val="28"/>
          <w:szCs w:val="28"/>
          <w:lang w:eastAsia="ru-RU"/>
        </w:rPr>
        <w:t>рафия – 2552,9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425ECE">
        <w:rPr>
          <w:rFonts w:ascii="Times New Roman" w:hAnsi="Times New Roman"/>
          <w:sz w:val="28"/>
          <w:szCs w:val="28"/>
          <w:lang w:eastAsia="ru-RU"/>
        </w:rPr>
        <w:t>275,2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425ECE">
        <w:rPr>
          <w:rFonts w:ascii="Times New Roman" w:hAnsi="Times New Roman"/>
          <w:sz w:val="28"/>
          <w:szCs w:val="28"/>
          <w:lang w:eastAsia="ru-RU"/>
        </w:rPr>
        <w:t>лей,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425ECE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5ECE">
        <w:rPr>
          <w:rFonts w:ascii="Times New Roman" w:hAnsi="Times New Roman"/>
          <w:sz w:val="28"/>
          <w:szCs w:val="28"/>
          <w:lang w:eastAsia="ru-RU"/>
        </w:rPr>
        <w:t>356,6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425ECE">
        <w:rPr>
          <w:rFonts w:ascii="Times New Roman" w:hAnsi="Times New Roman"/>
          <w:sz w:val="28"/>
          <w:szCs w:val="28"/>
          <w:lang w:eastAsia="ru-RU"/>
        </w:rPr>
        <w:t>юджета исполнена на 99,6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>а 201</w:t>
      </w:r>
      <w:r w:rsidR="00AD4E73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2C1F8A">
        <w:rPr>
          <w:rFonts w:ascii="Times New Roman" w:hAnsi="Times New Roman"/>
          <w:bCs/>
          <w:sz w:val="28"/>
          <w:szCs w:val="28"/>
          <w:lang w:eastAsia="ru-RU"/>
        </w:rPr>
        <w:t>Кадниковское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2019 год испо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лнен по доходам в сумме 12770,0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(100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,1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неналоговым доходам составил 101,7. По расходам бюджет сельского 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оселения исполнен в сумме 12730,8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(99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,6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lastRenderedPageBreak/>
        <w:t>осуществлено с профицитом 39,2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201</w:t>
      </w:r>
      <w:r>
        <w:rPr>
          <w:rFonts w:ascii="Times New Roman" w:hAnsi="Times New Roman"/>
          <w:sz w:val="28"/>
          <w:szCs w:val="28"/>
        </w:rPr>
        <w:t>9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>актеристики бюджета, однако имее</w:t>
      </w:r>
      <w:r w:rsidR="00AC413D" w:rsidRPr="00970812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замечание</w:t>
      </w:r>
      <w:r w:rsidR="00AC413D" w:rsidRPr="00970812">
        <w:rPr>
          <w:rFonts w:ascii="Times New Roman" w:hAnsi="Times New Roman"/>
          <w:sz w:val="28"/>
          <w:szCs w:val="28"/>
        </w:rPr>
        <w:t xml:space="preserve"> по проекту.</w:t>
      </w:r>
    </w:p>
    <w:p w:rsidR="00FA0CD7" w:rsidRDefault="00425ECE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A92DB1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и</w:t>
      </w:r>
      <w:r w:rsidR="00A92DB1">
        <w:rPr>
          <w:rFonts w:ascii="Times New Roman" w:hAnsi="Times New Roman"/>
          <w:sz w:val="28"/>
          <w:szCs w:val="28"/>
        </w:rPr>
        <w:t xml:space="preserve"> 2 к решению </w:t>
      </w:r>
      <w:r>
        <w:rPr>
          <w:rFonts w:ascii="Times New Roman" w:hAnsi="Times New Roman"/>
          <w:sz w:val="28"/>
          <w:szCs w:val="28"/>
        </w:rPr>
        <w:t>в строке «Центральный аппарат» цифры «2532,7» заменить на цифры «2532,8».</w:t>
      </w:r>
    </w:p>
    <w:p w:rsidR="00A92DB1" w:rsidRPr="00970812" w:rsidRDefault="00A92DB1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AC413D" w:rsidRPr="00EF4C73" w:rsidRDefault="00F07CEE" w:rsidP="00EF4C73">
      <w:pPr>
        <w:pStyle w:val="ad"/>
        <w:widowControl w:val="0"/>
        <w:numPr>
          <w:ilvl w:val="0"/>
          <w:numId w:val="7"/>
        </w:numPr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EF4C73">
        <w:rPr>
          <w:rFonts w:ascii="Times New Roman" w:hAnsi="Times New Roman"/>
          <w:sz w:val="28"/>
          <w:szCs w:val="28"/>
        </w:rPr>
        <w:t>У</w:t>
      </w:r>
      <w:r w:rsidR="008C4E02" w:rsidRPr="00EF4C73">
        <w:rPr>
          <w:rFonts w:ascii="Times New Roman" w:hAnsi="Times New Roman"/>
          <w:sz w:val="28"/>
          <w:szCs w:val="28"/>
        </w:rPr>
        <w:t xml:space="preserve">честь </w:t>
      </w:r>
      <w:r w:rsidR="00A92DB1" w:rsidRPr="00EF4C73">
        <w:rPr>
          <w:rFonts w:ascii="Times New Roman" w:hAnsi="Times New Roman"/>
          <w:sz w:val="28"/>
          <w:szCs w:val="28"/>
        </w:rPr>
        <w:t>замечание КРУ</w:t>
      </w:r>
      <w:r w:rsidR="00A37E3D" w:rsidRPr="00EF4C73">
        <w:rPr>
          <w:rFonts w:ascii="Times New Roman" w:hAnsi="Times New Roman"/>
          <w:sz w:val="28"/>
          <w:szCs w:val="28"/>
        </w:rPr>
        <w:t>.</w:t>
      </w:r>
    </w:p>
    <w:p w:rsidR="00EF4C73" w:rsidRPr="00EF4C73" w:rsidRDefault="00EF4C73" w:rsidP="00EF4C73">
      <w:pPr>
        <w:pStyle w:val="ad"/>
        <w:widowControl w:val="0"/>
        <w:numPr>
          <w:ilvl w:val="0"/>
          <w:numId w:val="7"/>
        </w:numPr>
        <w:autoSpaceDE w:val="0"/>
        <w:autoSpaceDN w:val="0"/>
        <w:spacing w:after="0" w:line="233" w:lineRule="auto"/>
        <w:ind w:left="0" w:firstLine="10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F4C73">
        <w:rPr>
          <w:rFonts w:ascii="Times New Roman" w:hAnsi="Times New Roman"/>
          <w:sz w:val="28"/>
          <w:szCs w:val="28"/>
        </w:rPr>
        <w:t>ешение дополнить приложением «расходы бюджета поселения на реализацию муниципальных программ за 201</w:t>
      </w:r>
      <w:r>
        <w:rPr>
          <w:rFonts w:ascii="Times New Roman" w:hAnsi="Times New Roman"/>
          <w:sz w:val="28"/>
          <w:szCs w:val="28"/>
        </w:rPr>
        <w:t>9</w:t>
      </w:r>
      <w:r w:rsidRPr="00EF4C73">
        <w:rPr>
          <w:rFonts w:ascii="Times New Roman" w:hAnsi="Times New Roman"/>
          <w:sz w:val="28"/>
          <w:szCs w:val="28"/>
        </w:rPr>
        <w:t xml:space="preserve"> год».</w:t>
      </w:r>
    </w:p>
    <w:p w:rsidR="00577F76" w:rsidRPr="00970812" w:rsidRDefault="00577F76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="00970812" w:rsidRPr="00970812">
        <w:rPr>
          <w:rFonts w:ascii="Times New Roman" w:hAnsi="Times New Roman"/>
          <w:sz w:val="28"/>
          <w:szCs w:val="28"/>
        </w:rPr>
        <w:t xml:space="preserve">  </w:t>
      </w:r>
      <w:r w:rsidR="00EF4C73">
        <w:rPr>
          <w:rFonts w:ascii="Times New Roman" w:hAnsi="Times New Roman"/>
          <w:sz w:val="28"/>
          <w:szCs w:val="28"/>
        </w:rPr>
        <w:t>3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2C1F8A">
        <w:rPr>
          <w:rFonts w:ascii="Times New Roman" w:hAnsi="Times New Roman"/>
          <w:sz w:val="28"/>
          <w:szCs w:val="28"/>
        </w:rPr>
        <w:t>Кадниковское</w:t>
      </w:r>
      <w:r w:rsidRPr="00970812">
        <w:rPr>
          <w:rFonts w:ascii="Times New Roman" w:hAnsi="Times New Roman"/>
          <w:sz w:val="28"/>
          <w:szCs w:val="28"/>
        </w:rPr>
        <w:t xml:space="preserve"> за 201</w:t>
      </w:r>
      <w:r w:rsidR="00717E6A">
        <w:rPr>
          <w:rFonts w:ascii="Times New Roman" w:hAnsi="Times New Roman"/>
          <w:sz w:val="28"/>
          <w:szCs w:val="28"/>
        </w:rPr>
        <w:t>9</w:t>
      </w:r>
      <w:r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Pr="00970812">
        <w:rPr>
          <w:rFonts w:ascii="Times New Roman" w:hAnsi="Times New Roman"/>
          <w:sz w:val="28"/>
          <w:szCs w:val="28"/>
        </w:rPr>
        <w:t>.</w:t>
      </w:r>
    </w:p>
    <w:p w:rsidR="00A07F19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731C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7D3" w:rsidRDefault="00F527D3" w:rsidP="009C6EA6">
      <w:pPr>
        <w:spacing w:after="0" w:line="240" w:lineRule="auto"/>
      </w:pPr>
      <w:r>
        <w:separator/>
      </w:r>
    </w:p>
  </w:endnote>
  <w:endnote w:type="continuationSeparator" w:id="0">
    <w:p w:rsidR="00F527D3" w:rsidRDefault="00F527D3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DE4">
          <w:rPr>
            <w:noProof/>
          </w:rPr>
          <w:t>6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7D3" w:rsidRDefault="00F527D3" w:rsidP="009C6EA6">
      <w:pPr>
        <w:spacing w:after="0" w:line="240" w:lineRule="auto"/>
      </w:pPr>
      <w:r>
        <w:separator/>
      </w:r>
    </w:p>
  </w:footnote>
  <w:footnote w:type="continuationSeparator" w:id="0">
    <w:p w:rsidR="00F527D3" w:rsidRDefault="00F527D3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0F1A76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1325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1544"/>
    <w:rsid w:val="002A2848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5ECE"/>
    <w:rsid w:val="0042676C"/>
    <w:rsid w:val="004277A3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7B5E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122A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E76"/>
    <w:rsid w:val="00D661D8"/>
    <w:rsid w:val="00D67743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C73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527D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EF7B8-D8C4-46F6-94DE-AEB1D37CC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7083</TotalTime>
  <Pages>6</Pages>
  <Words>1731</Words>
  <Characters>9872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39</cp:revision>
  <cp:lastPrinted>2020-03-26T12:32:00Z</cp:lastPrinted>
  <dcterms:created xsi:type="dcterms:W3CDTF">2013-04-03T11:30:00Z</dcterms:created>
  <dcterms:modified xsi:type="dcterms:W3CDTF">2020-03-26T12:32:00Z</dcterms:modified>
</cp:coreProperties>
</file>