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                                                               </w:t>
      </w:r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                                            Приложение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                                                                                    к решению Представительного Собрания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                                                                                   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муниципального округа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                                                                                                     </w:t>
      </w:r>
      <w:proofErr w:type="gramStart"/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от  26.02.2025</w:t>
      </w:r>
      <w:proofErr w:type="gramEnd"/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года      № 9                                                                                       </w:t>
      </w:r>
      <w:r w:rsidRPr="00CF4C71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r w:rsidRPr="00CF4C71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F4C71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ОТЧЕТ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 xml:space="preserve">о </w:t>
      </w: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деятельности к</w:t>
      </w:r>
      <w:proofErr w:type="spellStart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онтрольно</w:t>
      </w:r>
      <w:proofErr w:type="spellEnd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-</w:t>
      </w: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счетного управления </w:t>
      </w:r>
      <w:proofErr w:type="spellStart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 xml:space="preserve"> </w:t>
      </w: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округ</w:t>
      </w: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а</w:t>
      </w: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за</w:t>
      </w:r>
      <w:proofErr w:type="spellEnd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 xml:space="preserve"> </w:t>
      </w: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2024 год.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     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Отчет о деятельности контрольно-счетного управления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за 2024 год подготовлен на основании требований статьи 19 Федерального закона от 07 февраля 2011 года № 6-ФЗ «Об общих принципах организации деятельности контрольно-счетных органов субъектов Российской Федерации, федеральных территорий и муниципальных образований», подпункта 4 пункта 12.1 Положения о контрольно-счетном управлении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округа, утвержденного решением Представительного Собрания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от 31 октября 2022 года № 20 и содержит обобщенную информацию о результатах контрольных и экспертно-аналитических мероприятий, исполнения иных предусмотренных законодательством полномочий, а также о взаимодействии с органами государственной власти области, органами местного самоуправления, органами внешнего государственного и муниципального финансового контроля.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>1.</w:t>
      </w:r>
      <w:r w:rsidRPr="00CF4C71">
        <w:rPr>
          <w:rFonts w:ascii="Times New Roman" w:eastAsia="Andale Sans UI" w:hAnsi="Times New Roman" w:cs="Tahoma"/>
          <w:b/>
          <w:kern w:val="3"/>
          <w:sz w:val="26"/>
          <w:szCs w:val="26"/>
          <w:lang w:val="de-DE" w:eastAsia="ja-JP" w:bidi="fa-IR"/>
        </w:rPr>
        <w:t xml:space="preserve"> </w:t>
      </w:r>
      <w:proofErr w:type="gramStart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Общие сведения</w:t>
      </w:r>
      <w:proofErr w:type="gramEnd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 характеризующие деятельность контрольно-счетного управления </w:t>
      </w:r>
      <w:proofErr w:type="spellStart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 муниципального округа.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18"/>
          <w:szCs w:val="18"/>
          <w:lang w:eastAsia="ja-JP" w:bidi="fa-IR"/>
        </w:rPr>
      </w:pPr>
      <w:r w:rsidRPr="00CF4C71">
        <w:rPr>
          <w:rFonts w:ascii="Times New Roman" w:eastAsia="Andale Sans UI" w:hAnsi="Times New Roman" w:cs="Tahoma"/>
          <w:b/>
          <w:kern w:val="3"/>
          <w:sz w:val="18"/>
          <w:szCs w:val="18"/>
          <w:lang w:eastAsia="ja-JP" w:bidi="fa-IR"/>
        </w:rPr>
        <w:t xml:space="preserve">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Полномочия контрольно-счетного управления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(далее – контрольно-счетное управление, КСУ) определены Бюджетным кодексом РФ, федеральным законом «Об общих принципах организации и деятельности контрольно- счётных органов субъектов Российской Федерации, федеральных территорий и муниципальных образований», Уставом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округа, Положением о контрольно-счетном управлении и Положением о бюджетном процессе в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Вожегодском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муниципальном округе.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Контрольно-счетное управление в соответствии с Уставом округа является постоянно действующим органом внешнего муниципального финансового контроля. Деятельность контрольно-счетного управления основывается на принципах объективности, эффективности, независимости, открытости и гласности.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 соответствии с требованиями статьи 12 Федерального закона от 07 февраля 2011 года № 6- ФЗ «Об общих принципах организации деятельности контрольно-счетных органов субъектов Российской Федерации, федеральных территорий и муниципальных образований» деятельность КСУ осуществлялась в 2024 году на основании Плана работы, утвержденного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lastRenderedPageBreak/>
        <w:t>распоряжением председателя</w:t>
      </w:r>
      <w:r w:rsidRPr="00CF4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от 25.12.2023 г. № 65-р. В течение года в план работы было внесено два изменения. Мероприятия, предусмотренные планом работы, выполнены в полном объеме.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Контрольно-счетное управление осуществляет возложенные на нее полномочия по внешнему муниципальному финансовому контролю в форме контрольных и экспертно- аналитических мероприятий.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Контрольно-счетным управлением разработано 17 стандартов внешнего муниципального финансового контроля, которые применяются при исполнении полномочий.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 2024 году контрольно-счетное управление одновременно осуществляла контроль бюджета: на 2025 год и плановый период 2026-2027 годов (на стадии рассмотрения и утверждения), на 2024 год (текущее исполнение) и за 2023 год (исполнение за отчетный финансовый год).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Приоритетным видом деятельности</w:t>
      </w:r>
      <w:r w:rsidRPr="00CF4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F4C7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онтрольно-счетного управления в отчетном году оставалась экспертная работа, которая была направлена на то, чтобы помогать действенному выполнению намеченных мер, снижению рисков и затрат бюджетных ресурсов на стадии принятия муниципальных правовых актов.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Осуществлялся дальнейший контроль за выполнением представлений, вынесенных по результатам проверок.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Анализ мероприятий, проведённых в 2024 году, представлен в следующей таблице № 1: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Таблица № 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4"/>
        <w:gridCol w:w="5955"/>
        <w:gridCol w:w="2546"/>
      </w:tblGrid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№ п/п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Наименование мероприятий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Вожегодский</w:t>
            </w:r>
            <w:proofErr w:type="spellEnd"/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муниципальный округ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1.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Экспертно-аналитические мероприятия, всего в том числе на основании: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116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1.1.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Заключение на исполнение бюджетов за предыдущий год, включая внешнюю проверку бюджетной отчетности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1.2.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Заключения на изменения бюджетов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7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1.3.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Заключения на исполнение бюджетов за 1 квартал, полугодие и 9 месяцев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3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1.4.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Заключения на проекты бюджетов на следующий год и плановый период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1.5.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Экспертиза муниципальных программ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96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1.6.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Прочие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8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2.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 xml:space="preserve">Контрольные мероприятия, всего </w:t>
            </w:r>
          </w:p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в том числе: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8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2.1.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 соответствии с планом работы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8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2.2.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внеплановые мероприятия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</w:t>
            </w:r>
          </w:p>
        </w:tc>
      </w:tr>
      <w:tr w:rsidR="00CF4C71" w:rsidRPr="00CF4C71" w:rsidTr="00D7555B">
        <w:tc>
          <w:tcPr>
            <w:tcW w:w="844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3.</w:t>
            </w:r>
          </w:p>
        </w:tc>
        <w:tc>
          <w:tcPr>
            <w:tcW w:w="5955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 xml:space="preserve">Подготовлено справок по требованиям </w:t>
            </w:r>
          </w:p>
          <w:p w:rsidR="00CF4C71" w:rsidRPr="00CF4C71" w:rsidRDefault="00CF4C71" w:rsidP="00CF4C7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прокуратуры о привлечении специалистов</w:t>
            </w:r>
          </w:p>
        </w:tc>
        <w:tc>
          <w:tcPr>
            <w:tcW w:w="2546" w:type="dxa"/>
          </w:tcPr>
          <w:p w:rsidR="00CF4C71" w:rsidRPr="00CF4C71" w:rsidRDefault="00CF4C71" w:rsidP="00CF4C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</w:pPr>
            <w:r w:rsidRPr="00CF4C71">
              <w:rPr>
                <w:rFonts w:ascii="Times New Roman" w:eastAsia="Andale Sans UI" w:hAnsi="Times New Roman" w:cs="Tahoma"/>
                <w:b/>
                <w:kern w:val="3"/>
                <w:sz w:val="28"/>
                <w:szCs w:val="28"/>
                <w:lang w:eastAsia="ja-JP" w:bidi="fa-IR"/>
              </w:rPr>
              <w:t>0</w:t>
            </w:r>
          </w:p>
        </w:tc>
      </w:tr>
    </w:tbl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Коллегией Счетной палаты РФ 18 декабря 2014 года был одобрен Классификатор нарушений, выявляемых в ходе внешнего государственного финансового контроля (с изменениями). Контрольно-счетное управление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в 2024 году осуществляла классификацию выявленных нарушений в соответствии с указанным Классификатором.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2. Экспертно-аналитическая деятельность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18"/>
          <w:szCs w:val="18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Важным направлением в работе контрольно-счетного управления в истекшем году оставалась экспертно-аналитическая деятельность, в рамках которой проводилась финансово-экономическая экспертиза поступивших проектов решений Представительного Собрания округа, а также проводились отдельные экспертно-аналитические мероприятия по экспертизе нормативно-правовых актов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округа. Проведение экспертно-аналитических мероприятий направлено на обеспечение единой системы контроля, реализуемого на стадиях предварительного и последующего контроля.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 целях непосредственной реализации этих задач за 2024 год контрольно-счетным управлением округа было проведено 116 экспертно-аналитических мероприятий, по результатам которых были подготовлены заключения, в том числе: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- по экспертизе проектов решений о местном бюджете и внесении изменений в бюджет 8 мероприятий;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- по анализу исполнения бюджета 4 мероприятия;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- по экспертизе муниципальных программ, их проектов 96 мероприятий;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- по экспертизе иных муниципальных правовых актов 8 мероприятий.         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Подготовлено 116 заключений, из них 12 заключений подготовлено согласно положений бюджетного законодательства.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В соответствии с требованиями статьи 264.4 Бюджетного кодекса Российской Федерации и Положения о бюджетном процессе проведена </w:t>
      </w:r>
      <w:r w:rsidRPr="00CF4C71">
        <w:rPr>
          <w:rFonts w:ascii="Times New Roman" w:eastAsia="Andale Sans UI" w:hAnsi="Times New Roman" w:cs="Tahoma"/>
          <w:i/>
          <w:kern w:val="3"/>
          <w:sz w:val="28"/>
          <w:szCs w:val="28"/>
          <w:u w:val="single"/>
          <w:lang w:eastAsia="ja-JP" w:bidi="fa-IR"/>
        </w:rPr>
        <w:t>внешняя проверка отчетности главных администраторов бюджетных средств и отчетов об исполнении бюджета за 2023 год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. По результатам внешней проверки было составлено заключение. Итоги проверки рассмотрены на публичных слушаниях и на заседании Представительного Собрания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 ноябре 2024 года проведен анализ показателей проекта бюджета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на 2025 год и плановый период 2026-2027 годов, в установленные сроки подготовлено заключение на проект решения Представительного Собрания округа.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 ходе экспертизы была дана оценка реалистичности бюджетных проектировок по всем доходным источникам и по основным разделам классификации расходов, проверено соблюдение предусмотренных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lastRenderedPageBreak/>
        <w:t xml:space="preserve">бюджетным законодательством предельных объемов и ограничений.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По результатам осуществляемого КСУ в течение 2024 года контроля за исполнением бюджета в Представительное Собрание округа, главе округа, направлены заключения на отчеты об исполнении бюджета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за 1 квартал, полугодие, 9 месяцев 2024 года, в которых представлен анализ данных по исполнению бюджета.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КСУ в 2024 году были проведены финансово-экономические экспертизы и подготовлены заключения на проекты решений Представительного Собрания округа, которые касались широкого круга вопросов бюджетной и социальной политики. В принятых в 2024 году решениях Представительного Собрания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учтены предложения и замечания контрольно-счетного управления округа по результатам экспертно-аналитических мероприятий.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При проведении экспертно-аналитических мероприятий установлено нарушений в количестве 48 ед. (при формировании и исполнении бюджетов).          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В результате проведенных экспертно-аналитических мероприятий в подготовленных заключениях содержится 48 предложений об устранении нарушений. Все предложения учтены, нарушения устранены.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3. Контрольная деятельность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Контрольная деятельность в 2024 году осуществлялась в соответствии с Положением о контрольно-счетном управлении и планом работы КСУ округа.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В 2024 году проведено 8 контрольных мероприятий, которыми были охвачены 13 объектов контроля, в том числе 4 в сфере закупок. По результатам проведенных проверок оформлено 13 актов и составлено 8 отчетов по проверкам.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Объем бюджетных средств и стоимости имущества муниципальной собственности составил 1 172 ,3 млн. рублей.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 2024 году проверками охвачены различные сферы деятельности: образование, спорт, жилищно-коммунальная сфера.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Проведенными проверками выявлено 275 факта нарушений законодательства с использованием бюджетных средств и имущества на общую сумму 20,1 млн. рублей, или 1,7 % от проверенного объема, которые классифицированы по видам: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- при формировании и исполнении бюджетов – 98 на сумму 0,6 </w:t>
      </w:r>
      <w:proofErr w:type="spellStart"/>
      <w:proofErr w:type="gram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млн.рублей</w:t>
      </w:r>
      <w:proofErr w:type="spellEnd"/>
      <w:proofErr w:type="gram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;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- при осуществлении государственных (муниципальных) закупок и закупок отдельными видами юридических лиц – 40 на сумму 5,6 млн. рублей;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- ведения бухгалтерского учета, составления и предоставления бухгалтерской (финансовой) отчетности – 127 на сумму 2,9 </w:t>
      </w:r>
      <w:proofErr w:type="spellStart"/>
      <w:proofErr w:type="gram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млн.рублей</w:t>
      </w:r>
      <w:proofErr w:type="spellEnd"/>
      <w:proofErr w:type="gram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;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- в сфере управления и распоряжения государственной (муниципальной) собственностью – 10 на сумму 11,0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млн.руб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</w:t>
      </w: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Все выявленные в ходе контрольных мероприятий нарушения отражаются в актах и отчетах. Отчеты о результатах контрольных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lastRenderedPageBreak/>
        <w:t>мероприятий представляются Главе округа, а также в прокуратуру района и Департамент финансов Вологодской области.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Руководителям проверенных организаций направлено 7 представлений, дано 20 предложений по устранению выявленных недостатков и нарушений финансовой дисциплины, действующего законодательства. Практически все предложения КСУ округа выполнены, 3 находятся в стадии исполнения.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В 2024 году копии всех контрольных мероприятий направлены в прокуратуру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района для правовой оценки выявленных нарушений. По представленным материалам проверок мер прокурорского реагирования не последовало.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Кроме того, по итогам контрольных мероприятий при выявлении нарушений КСУ округа материалы проверок направляются в Департамент финансов области. Таким образом, возбуждено 5 дел об административных правонарушениях, составлено 10 протоколов, из них, 4 прекращено из-за истечения срока давности. По результатам рассмотрения 6 протоколов производства прекращены за малозначительностью, руководителям объявлены устные замечания.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4.  Обеспечение деятельности и взаимодействия контрольно-счетного управления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18"/>
          <w:szCs w:val="18"/>
          <w:lang w:eastAsia="ja-JP" w:bidi="fa-IR"/>
        </w:rPr>
      </w:pP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В соответствии с</w:t>
      </w:r>
      <w:r w:rsidRPr="00CF4C71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Положением о контрольно-счетном управлении КСУ округа ежеквартально представляет информацию Представительному Собранию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 о результатах своей работы.   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Отчет об итогах работы за 2023 год: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- рассмотрен на Представительном Собрании и принят к сведению решением Представительного Собрания округа от 29.02.2024г. № 11.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- опубликован в районной газете «Борьба» от 15.03.2024 года № 20 и размещен в информационно-телекоммуникационной сети «Интернет».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КСУ округа является членом Совета контрольно-счетных органов Вологодской области, а также председатель КСУ является членом президиума Совета КСО Вологодской области.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В целях совершенствования своей деятельности, обмена опытом и получения информационных материалов КСУ продолжает взаимодействовать с Контрольно-счетной палатой области и с органами финансового контроля муниципальных образований области. В течение года председатель КСУ принимала участие в заседаниях Совета контрольно-счетных органов Вологодской области. В 2024 году сотрудниками КСУ осуществлялся постоянный мониторинг законодательства Российской Федерации и Вологодской области по вопросам, входящим в ее компетенцию.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С учетом результатов контрольных и экспертно-аналитических мероприятий отчетного года и поступивших предложений сформирован план работы КСУ на 2025 год и утвержден распоряжением № 19-р от 27.12.2024 года. </w:t>
      </w:r>
    </w:p>
    <w:p w:rsidR="00CF4C71" w:rsidRPr="00CF4C71" w:rsidRDefault="00CF4C71" w:rsidP="00CF4C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Информационная деятельность контрольного органа обеспечивается </w:t>
      </w:r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lastRenderedPageBreak/>
        <w:t xml:space="preserve">посредством размещения информации в сети Интернет на официальном сайте 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муниципального округа, на официальной странице КСУ округа в социальной сети «</w:t>
      </w:r>
      <w:proofErr w:type="spellStart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ВКонтакте</w:t>
      </w:r>
      <w:proofErr w:type="spellEnd"/>
      <w:r w:rsidRPr="00CF4C7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».  </w:t>
      </w:r>
    </w:p>
    <w:p w:rsidR="007B3B5F" w:rsidRPr="00552005" w:rsidRDefault="007B3B5F" w:rsidP="00552005">
      <w:bookmarkStart w:id="0" w:name="_GoBack"/>
      <w:bookmarkEnd w:id="0"/>
    </w:p>
    <w:sectPr w:rsidR="007B3B5F" w:rsidRPr="00552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61EFF"/>
    <w:multiLevelType w:val="hybridMultilevel"/>
    <w:tmpl w:val="C1988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B9"/>
    <w:rsid w:val="0008750D"/>
    <w:rsid w:val="001C15E3"/>
    <w:rsid w:val="0051692E"/>
    <w:rsid w:val="00524BE3"/>
    <w:rsid w:val="00552005"/>
    <w:rsid w:val="0067788A"/>
    <w:rsid w:val="00691B36"/>
    <w:rsid w:val="007B3B5F"/>
    <w:rsid w:val="007E399B"/>
    <w:rsid w:val="00B00AAD"/>
    <w:rsid w:val="00B7052D"/>
    <w:rsid w:val="00CF4C71"/>
    <w:rsid w:val="00DC251E"/>
    <w:rsid w:val="00F7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BFB61-E845-49C3-95A5-A3B332F8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5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7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788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CF4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CF4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2024-06-17T08:33:00Z</cp:lastPrinted>
  <dcterms:created xsi:type="dcterms:W3CDTF">2025-02-26T13:25:00Z</dcterms:created>
  <dcterms:modified xsi:type="dcterms:W3CDTF">2025-02-26T13:25:00Z</dcterms:modified>
</cp:coreProperties>
</file>